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bCs/>
          <w:sz w:val="22"/>
          <w:szCs w:val="16"/>
          <w:highlight w:val="none"/>
          <w:lang w:val="en-US"/>
        </w:rPr>
      </w:pPr>
      <w:r>
        <w:rPr>
          <w:rFonts w:ascii="Arial" w:hAnsi="Arial" w:cs="Arial"/>
          <w:b/>
          <w:bCs/>
          <w:sz w:val="22"/>
          <w:szCs w:val="16"/>
          <w:highlight w:val="none"/>
        </w:rPr>
        <w:t>3GPP TSG RAN WG1 #11</w:t>
      </w:r>
      <w:r>
        <w:rPr>
          <w:rFonts w:hint="eastAsia" w:ascii="Arial" w:hAnsi="Arial" w:cs="Arial"/>
          <w:b/>
          <w:bCs/>
          <w:sz w:val="22"/>
          <w:szCs w:val="16"/>
          <w:highlight w:val="none"/>
          <w:lang w:val="en-US" w:eastAsia="zh-CN"/>
        </w:rPr>
        <w:t>9</w:t>
      </w:r>
      <w:r>
        <w:rPr>
          <w:rFonts w:ascii="Arial" w:hAnsi="Arial" w:cs="Arial"/>
          <w:b/>
          <w:bCs/>
          <w:sz w:val="22"/>
          <w:szCs w:val="16"/>
          <w:highlight w:val="none"/>
        </w:rPr>
        <w:tab/>
      </w:r>
      <w:r>
        <w:rPr>
          <w:rFonts w:ascii="Arial" w:hAnsi="Arial" w:cs="Arial"/>
          <w:b/>
          <w:bCs/>
          <w:sz w:val="22"/>
          <w:szCs w:val="16"/>
          <w:highlight w:val="none"/>
        </w:rPr>
        <w:tab/>
      </w:r>
      <w:r>
        <w:rPr>
          <w:rFonts w:ascii="Arial" w:hAnsi="Arial" w:cs="Arial"/>
          <w:b/>
          <w:bCs/>
          <w:sz w:val="22"/>
          <w:szCs w:val="16"/>
          <w:highlight w:val="none"/>
        </w:rPr>
        <w:tab/>
      </w:r>
      <w:r>
        <w:rPr>
          <w:rFonts w:hint="eastAsia" w:ascii="Arial" w:hAnsi="Arial" w:cs="Arial"/>
          <w:b/>
          <w:bCs/>
          <w:sz w:val="22"/>
          <w:szCs w:val="16"/>
          <w:highlight w:val="none"/>
          <w:lang w:eastAsia="zh-CN"/>
        </w:rPr>
        <w:t xml:space="preserve">                                                                   R1-2409504</w:t>
      </w:r>
    </w:p>
    <w:p>
      <w:pPr>
        <w:rPr>
          <w:rFonts w:hint="eastAsia" w:ascii="Arial" w:hAnsi="Arial" w:cs="Arial"/>
          <w:b/>
          <w:bCs/>
          <w:sz w:val="22"/>
          <w:szCs w:val="16"/>
          <w:highlight w:val="none"/>
          <w:lang w:eastAsia="zh-CN"/>
        </w:rPr>
      </w:pPr>
      <w:r>
        <w:rPr>
          <w:rFonts w:hint="eastAsia" w:ascii="Arial" w:hAnsi="Arial" w:cs="Arial"/>
          <w:b/>
          <w:bCs/>
          <w:sz w:val="22"/>
          <w:szCs w:val="16"/>
          <w:highlight w:val="none"/>
          <w:lang w:eastAsia="zh-CN"/>
        </w:rPr>
        <w:t xml:space="preserve">Orlando, </w:t>
      </w:r>
      <w:bookmarkStart w:id="4" w:name="_GoBack"/>
      <w:bookmarkEnd w:id="4"/>
      <w:r>
        <w:rPr>
          <w:rFonts w:hint="eastAsia" w:ascii="Arial" w:hAnsi="Arial" w:cs="Arial"/>
          <w:b/>
          <w:bCs/>
          <w:sz w:val="22"/>
          <w:szCs w:val="16"/>
          <w:highlight w:val="none"/>
          <w:lang w:eastAsia="zh-CN"/>
        </w:rPr>
        <w:t>US, November 18th – 22nd, 2024</w:t>
      </w:r>
    </w:p>
    <w:p>
      <w:pPr>
        <w:rPr>
          <w:rFonts w:ascii="Arial" w:hAnsi="Arial" w:cs="Arial"/>
          <w:sz w:val="21"/>
          <w:szCs w:val="21"/>
        </w:rPr>
      </w:pPr>
    </w:p>
    <w:p>
      <w:pPr>
        <w:spacing w:after="60"/>
        <w:ind w:left="1985" w:hanging="1985"/>
        <w:rPr>
          <w:rFonts w:ascii="Arial" w:hAnsi="Arial" w:cs="Arial"/>
          <w:bCs/>
          <w:sz w:val="21"/>
          <w:szCs w:val="21"/>
        </w:rPr>
      </w:pPr>
      <w:r>
        <w:rPr>
          <w:rFonts w:ascii="Arial" w:hAnsi="Arial" w:cs="Arial"/>
          <w:b/>
          <w:sz w:val="21"/>
          <w:szCs w:val="21"/>
        </w:rPr>
        <w:t>Agenda item:</w:t>
      </w:r>
      <w:r>
        <w:rPr>
          <w:rFonts w:ascii="Arial" w:hAnsi="Arial" w:cs="Arial"/>
          <w:b/>
          <w:sz w:val="21"/>
          <w:szCs w:val="21"/>
        </w:rPr>
        <w:tab/>
      </w:r>
      <w:r>
        <w:rPr>
          <w:rFonts w:ascii="Arial" w:hAnsi="Arial" w:cs="Arial"/>
          <w:sz w:val="21"/>
          <w:szCs w:val="21"/>
        </w:rPr>
        <w:t>9.2.1</w:t>
      </w:r>
    </w:p>
    <w:p>
      <w:pPr>
        <w:spacing w:after="60"/>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ascii="Arial" w:hAnsi="Arial" w:cs="Arial"/>
          <w:bCs/>
          <w:sz w:val="21"/>
          <w:szCs w:val="21"/>
        </w:rPr>
        <w:t>Discussion on enhancements for UE-initiated/event-driven beam management</w:t>
      </w:r>
    </w:p>
    <w:p>
      <w:pPr>
        <w:spacing w:after="60"/>
        <w:ind w:left="1985" w:hanging="1985"/>
        <w:rPr>
          <w:rFonts w:ascii="Arial" w:hAnsi="Arial" w:cs="Arial"/>
          <w:bCs/>
          <w:sz w:val="21"/>
          <w:szCs w:val="21"/>
        </w:rPr>
      </w:pPr>
      <w:r>
        <w:rPr>
          <w:rFonts w:ascii="Arial" w:hAnsi="Arial" w:cs="Arial"/>
          <w:b/>
          <w:sz w:val="21"/>
          <w:szCs w:val="21"/>
        </w:rPr>
        <w:t>Source:</w:t>
      </w:r>
      <w:r>
        <w:rPr>
          <w:rFonts w:ascii="Arial" w:hAnsi="Arial" w:cs="Arial"/>
          <w:bCs/>
          <w:sz w:val="21"/>
          <w:szCs w:val="21"/>
        </w:rPr>
        <w:tab/>
      </w:r>
      <w:r>
        <w:rPr>
          <w:rFonts w:ascii="Arial" w:hAnsi="Arial" w:cs="Arial"/>
          <w:bCs/>
          <w:sz w:val="21"/>
          <w:szCs w:val="21"/>
        </w:rPr>
        <w:t>CMCC</w:t>
      </w:r>
    </w:p>
    <w:p>
      <w:pPr>
        <w:spacing w:after="60"/>
        <w:ind w:left="1985" w:hanging="1985"/>
        <w:rPr>
          <w:rFonts w:ascii="Arial" w:hAnsi="Arial" w:cs="Arial"/>
          <w:bCs/>
          <w:sz w:val="21"/>
          <w:szCs w:val="21"/>
        </w:rPr>
      </w:pPr>
      <w:r>
        <w:rPr>
          <w:rFonts w:ascii="Arial" w:hAnsi="Arial" w:cs="Arial"/>
          <w:b/>
          <w:sz w:val="21"/>
          <w:szCs w:val="21"/>
        </w:rPr>
        <w:t>Document for:</w:t>
      </w:r>
      <w:r>
        <w:rPr>
          <w:rFonts w:ascii="Arial" w:hAnsi="Arial" w:cs="Arial"/>
          <w:bCs/>
          <w:sz w:val="21"/>
          <w:szCs w:val="21"/>
        </w:rPr>
        <w:tab/>
      </w:r>
      <w:r>
        <w:rPr>
          <w:rFonts w:ascii="Arial" w:hAnsi="Arial" w:cs="Arial"/>
          <w:bCs/>
          <w:sz w:val="21"/>
          <w:szCs w:val="21"/>
        </w:rPr>
        <w:t>Discussion and Decision</w:t>
      </w:r>
    </w:p>
    <w:p>
      <w:pPr>
        <w:pBdr>
          <w:bottom w:val="single" w:color="auto" w:sz="4" w:space="1"/>
        </w:pBdr>
        <w:rPr>
          <w:rFonts w:ascii="Arial" w:hAnsi="Arial" w:cs="Arial"/>
        </w:rPr>
      </w:pPr>
    </w:p>
    <w:p>
      <w:pPr>
        <w:spacing w:before="120" w:beforeLines="50" w:line="288" w:lineRule="auto"/>
        <w:jc w:val="both"/>
        <w:outlineLvl w:val="0"/>
        <w:rPr>
          <w:rFonts w:ascii="Arial" w:hAnsi="Arial" w:cs="Arial"/>
          <w:b/>
          <w:sz w:val="24"/>
          <w:szCs w:val="24"/>
        </w:rPr>
      </w:pPr>
      <w:r>
        <w:rPr>
          <w:rFonts w:ascii="Arial" w:hAnsi="Arial" w:cs="Arial"/>
          <w:b/>
          <w:sz w:val="24"/>
          <w:szCs w:val="24"/>
        </w:rPr>
        <w:t>1. Introduction</w:t>
      </w:r>
    </w:p>
    <w:p>
      <w:pPr>
        <w:snapToGrid w:val="0"/>
        <w:spacing w:before="120" w:beforeLines="50" w:line="288" w:lineRule="auto"/>
        <w:jc w:val="both"/>
        <w:rPr>
          <w:sz w:val="21"/>
          <w:szCs w:val="21"/>
        </w:rPr>
      </w:pPr>
      <w:r>
        <w:rPr>
          <w:sz w:val="21"/>
          <w:szCs w:val="21"/>
        </w:rPr>
        <w:t xml:space="preserve">The WID of NR MIMO enhancements for Rel-19 related to UE-initiated/event-driven beam management is [1]: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7"/>
              </w:numPr>
              <w:snapToGrid w:val="0"/>
              <w:spacing w:before="120" w:beforeLines="50" w:line="288" w:lineRule="auto"/>
              <w:ind w:hanging="357"/>
              <w:jc w:val="both"/>
              <w:rPr>
                <w:rFonts w:eastAsia="Times New Roman"/>
                <w:lang w:val="en-US"/>
              </w:rPr>
            </w:pPr>
            <w:bookmarkStart w:id="0" w:name="_Hlk145555364"/>
            <w:r>
              <w:rPr>
                <w:rFonts w:eastAsia="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7"/>
              </w:numPr>
              <w:snapToGrid w:val="0"/>
              <w:spacing w:before="120" w:beforeLines="50" w:line="288" w:lineRule="auto"/>
              <w:ind w:hanging="357"/>
              <w:jc w:val="both"/>
              <w:rPr>
                <w:rFonts w:eastAsia="Times New Roman"/>
                <w:lang w:val="en-US"/>
              </w:rPr>
            </w:pPr>
            <w:r>
              <w:rPr>
                <w:rFonts w:eastAsia="Times New Roman"/>
                <w:lang w:val="en-US"/>
              </w:rPr>
              <w:t xml:space="preserve">UL signaling content(s) (and procedure(s) as required) for UE-initiated/event-driven beam reporting facilitating fast beam switching </w:t>
            </w:r>
          </w:p>
          <w:p>
            <w:pPr>
              <w:numPr>
                <w:ilvl w:val="1"/>
                <w:numId w:val="7"/>
              </w:numPr>
              <w:snapToGrid w:val="0"/>
              <w:spacing w:before="120" w:beforeLines="50" w:line="288" w:lineRule="auto"/>
              <w:ind w:hanging="357"/>
              <w:jc w:val="both"/>
              <w:rPr>
                <w:rFonts w:eastAsia="Times New Roman"/>
                <w:sz w:val="21"/>
                <w:szCs w:val="21"/>
                <w:lang w:val="en-US"/>
              </w:rPr>
            </w:pPr>
            <w:r>
              <w:rPr>
                <w:rFonts w:eastAsia="Times New Roman"/>
                <w:lang w:val="en-US"/>
              </w:rPr>
              <w:t>UL signaling medium/container considering the UE-initiated/event-driven nature of the UL transmission, designed primarily for the purpose of beam reporting</w:t>
            </w:r>
            <w:bookmarkEnd w:id="0"/>
          </w:p>
        </w:tc>
      </w:tr>
    </w:tbl>
    <w:p>
      <w:pPr>
        <w:snapToGrid w:val="0"/>
        <w:spacing w:before="120" w:beforeLines="50" w:line="288" w:lineRule="auto"/>
        <w:jc w:val="both"/>
        <w:rPr>
          <w:sz w:val="21"/>
          <w:szCs w:val="21"/>
          <w:lang w:val="en-US"/>
        </w:rPr>
      </w:pPr>
      <w:r>
        <w:rPr>
          <w:sz w:val="21"/>
          <w:szCs w:val="21"/>
        </w:rPr>
        <w:t>In this contribution, we will discuss trigger-event detection, UL signaling content(s) and UL signaling medium/container for UE-initiated/event-driven beam reporting.</w:t>
      </w:r>
    </w:p>
    <w:p>
      <w:pPr>
        <w:snapToGrid w:val="0"/>
        <w:spacing w:before="120" w:beforeLines="50" w:line="288" w:lineRule="auto"/>
        <w:jc w:val="both"/>
        <w:rPr>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ascii="Arial" w:hAnsi="Arial" w:cs="Arial"/>
          <w:b/>
          <w:sz w:val="24"/>
          <w:szCs w:val="24"/>
        </w:rPr>
        <w:t>2. Trigger-event detection</w:t>
      </w: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lang w:eastAsia="zh-CN"/>
        </w:rPr>
        <w:t>2.1 C</w:t>
      </w:r>
      <w:r>
        <w:rPr>
          <w:rFonts w:ascii="Arial" w:hAnsi="Arial" w:cs="Arial"/>
          <w:b/>
          <w:sz w:val="24"/>
          <w:szCs w:val="24"/>
        </w:rPr>
        <w:t>ondition(s) of resetting the counting</w:t>
      </w:r>
    </w:p>
    <w:p>
      <w:pPr>
        <w:snapToGrid w:val="0"/>
        <w:spacing w:before="120" w:beforeLines="50" w:line="288" w:lineRule="auto"/>
        <w:jc w:val="both"/>
        <w:rPr>
          <w:sz w:val="21"/>
          <w:szCs w:val="21"/>
          <w:lang w:eastAsia="zh-CN"/>
        </w:rPr>
      </w:pPr>
      <w:r>
        <w:rPr>
          <w:rFonts w:hint="eastAsia"/>
          <w:sz w:val="21"/>
          <w:szCs w:val="21"/>
          <w:lang w:eastAsia="zh-CN"/>
        </w:rPr>
        <w:t>In RAN1#118bis meeting [2], we have discussed the c</w:t>
      </w:r>
      <w:r>
        <w:rPr>
          <w:sz w:val="21"/>
          <w:szCs w:val="21"/>
          <w:lang w:eastAsia="zh-CN"/>
        </w:rPr>
        <w:t>ondition(s) of resetting the counting</w:t>
      </w:r>
      <w:r>
        <w:rPr>
          <w:rFonts w:hint="eastAsia"/>
          <w:sz w:val="21"/>
          <w:szCs w:val="21"/>
          <w:lang w:eastAsia="zh-CN"/>
        </w:rPr>
        <w:t xml:space="preserve"> and the agreement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rFonts w:eastAsia="宋体"/>
                <w:color w:val="000000"/>
              </w:rPr>
            </w:pPr>
            <w:r>
              <w:rPr>
                <w:rFonts w:eastAsia="Batang"/>
                <w:b/>
                <w:highlight w:val="green"/>
              </w:rPr>
              <w:t>[</w:t>
            </w:r>
            <w:r>
              <w:rPr>
                <w:b/>
                <w:bCs/>
                <w:highlight w:val="green"/>
                <w:lang w:eastAsia="zh-CN"/>
              </w:rPr>
              <w:t>118b] Agreement</w:t>
            </w:r>
          </w:p>
          <w:p>
            <w:pPr>
              <w:shd w:val="clear" w:color="auto" w:fill="FFFFFF"/>
              <w:adjustRightInd w:val="0"/>
              <w:snapToGrid w:val="0"/>
              <w:jc w:val="both"/>
              <w:rPr>
                <w:rFonts w:eastAsia="宋体"/>
                <w:color w:val="000000"/>
                <w:lang w:eastAsia="zh-CN"/>
              </w:rPr>
            </w:pPr>
            <w:r>
              <w:rPr>
                <w:rFonts w:eastAsia="宋体"/>
                <w:color w:val="000000"/>
              </w:rPr>
              <w:t>Regarding the triggering event determination for Event 2, the event instance(s) counting is per new beam. Further study candidate condition(s) of resetting the counting including whether resetting is needed.</w:t>
            </w:r>
          </w:p>
        </w:tc>
      </w:tr>
    </w:tbl>
    <w:p>
      <w:pPr>
        <w:snapToGrid w:val="0"/>
        <w:spacing w:before="120" w:beforeLines="50" w:line="288" w:lineRule="auto"/>
        <w:jc w:val="both"/>
        <w:rPr>
          <w:rFonts w:eastAsia="宋体"/>
          <w:sz w:val="21"/>
          <w:szCs w:val="21"/>
          <w:lang w:eastAsia="zh-CN"/>
        </w:rPr>
      </w:pPr>
      <w:r>
        <w:rPr>
          <w:rFonts w:hint="eastAsia" w:eastAsia="宋体"/>
          <w:sz w:val="21"/>
          <w:szCs w:val="21"/>
          <w:lang w:eastAsia="zh-CN"/>
        </w:rPr>
        <w:t>The instance of Event-2 is counted when the q</w:t>
      </w:r>
      <w:r>
        <w:rPr>
          <w:rFonts w:eastAsia="宋体"/>
          <w:sz w:val="21"/>
          <w:szCs w:val="21"/>
          <w:lang w:eastAsia="zh-CN"/>
        </w:rPr>
        <w:t xml:space="preserve">uality of at least one </w:t>
      </w:r>
      <w:r>
        <w:rPr>
          <w:rFonts w:hint="eastAsia" w:eastAsia="宋体"/>
          <w:sz w:val="21"/>
          <w:szCs w:val="21"/>
          <w:lang w:eastAsia="zh-CN"/>
        </w:rPr>
        <w:t xml:space="preserve">same </w:t>
      </w:r>
      <w:r>
        <w:rPr>
          <w:rFonts w:eastAsia="宋体"/>
          <w:sz w:val="21"/>
          <w:szCs w:val="21"/>
          <w:lang w:eastAsia="zh-CN"/>
        </w:rPr>
        <w:t>new beam becomes a threshold value better than the current beam</w:t>
      </w:r>
      <w:r>
        <w:rPr>
          <w:rFonts w:hint="eastAsia" w:eastAsia="宋体"/>
          <w:sz w:val="21"/>
          <w:szCs w:val="21"/>
          <w:lang w:eastAsia="zh-CN"/>
        </w:rPr>
        <w:t xml:space="preserve">. Once the beam of the corresponding new beam or current beam is changed, the counting should reset. </w:t>
      </w:r>
    </w:p>
    <w:p>
      <w:pPr>
        <w:snapToGrid w:val="0"/>
        <w:spacing w:before="120" w:beforeLines="50" w:line="288" w:lineRule="auto"/>
        <w:jc w:val="both"/>
        <w:rPr>
          <w:rFonts w:hint="eastAsia" w:eastAsia="宋体"/>
          <w:sz w:val="21"/>
          <w:szCs w:val="21"/>
          <w:lang w:eastAsia="zh-CN"/>
        </w:rPr>
      </w:pPr>
      <w:r>
        <w:rPr>
          <w:rFonts w:hint="eastAsia" w:eastAsia="宋体"/>
          <w:sz w:val="21"/>
          <w:szCs w:val="21"/>
          <w:lang w:eastAsia="zh-CN"/>
        </w:rPr>
        <w:t xml:space="preserve">Regarding the new beam, when the </w:t>
      </w:r>
      <w:r>
        <w:rPr>
          <w:rFonts w:eastAsia="宋体"/>
          <w:sz w:val="21"/>
          <w:szCs w:val="21"/>
          <w:lang w:eastAsia="zh-CN"/>
        </w:rPr>
        <w:t>RS reconfiguration/update for new beam</w:t>
      </w:r>
      <w:r>
        <w:rPr>
          <w:rFonts w:hint="eastAsia" w:eastAsia="宋体"/>
          <w:sz w:val="21"/>
          <w:szCs w:val="21"/>
          <w:lang w:eastAsia="zh-CN"/>
        </w:rPr>
        <w:t xml:space="preserve"> set </w:t>
      </w:r>
      <w:r>
        <w:rPr>
          <w:rFonts w:eastAsia="宋体"/>
          <w:sz w:val="21"/>
          <w:szCs w:val="21"/>
          <w:lang w:eastAsia="zh-CN"/>
        </w:rPr>
        <w:t>is received</w:t>
      </w:r>
      <w:r>
        <w:rPr>
          <w:rFonts w:hint="eastAsia" w:eastAsia="宋体"/>
          <w:sz w:val="21"/>
          <w:szCs w:val="21"/>
          <w:lang w:eastAsia="zh-CN"/>
        </w:rPr>
        <w:t xml:space="preserve">, it is highly </w:t>
      </w:r>
      <w:r>
        <w:rPr>
          <w:rFonts w:eastAsia="宋体"/>
          <w:sz w:val="21"/>
          <w:szCs w:val="21"/>
          <w:lang w:eastAsia="zh-CN"/>
        </w:rPr>
        <w:t>possible</w:t>
      </w:r>
      <w:r>
        <w:rPr>
          <w:rFonts w:hint="eastAsia" w:eastAsia="宋体"/>
          <w:sz w:val="21"/>
          <w:szCs w:val="21"/>
          <w:lang w:eastAsia="zh-CN"/>
        </w:rPr>
        <w:t xml:space="preserve"> that the beams </w:t>
      </w:r>
      <w:r>
        <w:rPr>
          <w:rFonts w:eastAsia="宋体"/>
          <w:sz w:val="21"/>
          <w:szCs w:val="21"/>
          <w:lang w:eastAsia="zh-CN"/>
        </w:rPr>
        <w:t>satisfying</w:t>
      </w:r>
      <w:r>
        <w:rPr>
          <w:rFonts w:hint="eastAsia" w:eastAsia="宋体"/>
          <w:sz w:val="21"/>
          <w:szCs w:val="21"/>
          <w:lang w:eastAsia="zh-CN"/>
        </w:rPr>
        <w:t xml:space="preserve"> the condition of Event-2 are not updated, the counting should be maintained for those new beams. If UE resets the counting for all new beams when the </w:t>
      </w:r>
      <w:r>
        <w:rPr>
          <w:rFonts w:eastAsia="宋体"/>
          <w:sz w:val="21"/>
          <w:szCs w:val="21"/>
          <w:lang w:eastAsia="zh-CN"/>
        </w:rPr>
        <w:t>RS reconfiguration/update for new beam</w:t>
      </w:r>
      <w:r>
        <w:rPr>
          <w:rFonts w:hint="eastAsia" w:eastAsia="宋体"/>
          <w:sz w:val="21"/>
          <w:szCs w:val="21"/>
          <w:lang w:eastAsia="zh-CN"/>
        </w:rPr>
        <w:t xml:space="preserve"> set </w:t>
      </w:r>
      <w:r>
        <w:rPr>
          <w:rFonts w:eastAsia="宋体"/>
          <w:sz w:val="21"/>
          <w:szCs w:val="21"/>
          <w:lang w:eastAsia="zh-CN"/>
        </w:rPr>
        <w:t>is received</w:t>
      </w:r>
      <w:r>
        <w:rPr>
          <w:rFonts w:hint="eastAsia" w:eastAsia="宋体"/>
          <w:sz w:val="21"/>
          <w:szCs w:val="21"/>
          <w:lang w:eastAsia="zh-CN"/>
        </w:rPr>
        <w:t xml:space="preserve">, it is possible </w:t>
      </w:r>
      <w:r>
        <w:rPr>
          <w:rFonts w:eastAsia="宋体"/>
          <w:sz w:val="21"/>
          <w:szCs w:val="21"/>
          <w:lang w:eastAsia="zh-CN"/>
        </w:rPr>
        <w:t>that</w:t>
      </w:r>
      <w:r>
        <w:rPr>
          <w:rFonts w:hint="eastAsia" w:eastAsia="宋体"/>
          <w:sz w:val="21"/>
          <w:szCs w:val="21"/>
          <w:lang w:eastAsia="zh-CN"/>
        </w:rPr>
        <w:t xml:space="preserve"> one of the new beams, such as beam-1, almost satisfies the condition, but due to the </w:t>
      </w:r>
      <w:r>
        <w:rPr>
          <w:rFonts w:eastAsia="宋体"/>
          <w:sz w:val="21"/>
          <w:szCs w:val="21"/>
          <w:lang w:eastAsia="zh-CN"/>
        </w:rPr>
        <w:t xml:space="preserve">RS reconfiguration/update for </w:t>
      </w:r>
      <w:r>
        <w:rPr>
          <w:rFonts w:hint="eastAsia" w:eastAsia="宋体"/>
          <w:sz w:val="21"/>
          <w:szCs w:val="21"/>
          <w:lang w:eastAsia="zh-CN"/>
        </w:rPr>
        <w:t xml:space="preserve">the other beams in the </w:t>
      </w:r>
      <w:r>
        <w:rPr>
          <w:rFonts w:eastAsia="宋体"/>
          <w:sz w:val="21"/>
          <w:szCs w:val="21"/>
          <w:lang w:eastAsia="zh-CN"/>
        </w:rPr>
        <w:t>new beam</w:t>
      </w:r>
      <w:r>
        <w:rPr>
          <w:rFonts w:hint="eastAsia" w:eastAsia="宋体"/>
          <w:sz w:val="21"/>
          <w:szCs w:val="21"/>
          <w:lang w:eastAsia="zh-CN"/>
        </w:rPr>
        <w:t xml:space="preserve"> set, the counting of the Beam-1 is reset, this will significantly increase the latency of </w:t>
      </w:r>
      <w:r>
        <w:rPr>
          <w:sz w:val="21"/>
          <w:szCs w:val="21"/>
        </w:rPr>
        <w:t>UE-initiated/event-driven beam reporting.</w:t>
      </w:r>
      <w:r>
        <w:rPr>
          <w:rFonts w:hint="eastAsia"/>
          <w:sz w:val="21"/>
          <w:szCs w:val="21"/>
          <w:lang w:eastAsia="zh-CN"/>
        </w:rPr>
        <w:t xml:space="preserve"> So, </w:t>
      </w:r>
      <w:r>
        <w:rPr>
          <w:rFonts w:hint="eastAsia" w:eastAsia="宋体"/>
          <w:sz w:val="21"/>
          <w:szCs w:val="21"/>
          <w:lang w:eastAsia="zh-CN"/>
        </w:rPr>
        <w:t xml:space="preserve">when the </w:t>
      </w:r>
      <w:r>
        <w:rPr>
          <w:rFonts w:eastAsia="宋体"/>
          <w:sz w:val="21"/>
          <w:szCs w:val="21"/>
          <w:lang w:eastAsia="zh-CN"/>
        </w:rPr>
        <w:t>RS reconfiguration/update for new beam is received</w:t>
      </w:r>
      <w:r>
        <w:rPr>
          <w:rFonts w:hint="eastAsia" w:eastAsia="宋体"/>
          <w:sz w:val="21"/>
          <w:szCs w:val="21"/>
          <w:lang w:eastAsia="zh-CN"/>
        </w:rPr>
        <w:t>, the counting of the updated beam is reset</w:t>
      </w:r>
      <w:r>
        <w:rPr>
          <w:rFonts w:hint="eastAsia" w:eastAsia="宋体"/>
          <w:szCs w:val="21"/>
        </w:rPr>
        <w:t xml:space="preserve"> while </w:t>
      </w:r>
      <w:r>
        <w:rPr>
          <w:rFonts w:eastAsia="宋体"/>
          <w:sz w:val="21"/>
          <w:szCs w:val="21"/>
          <w:lang w:eastAsia="zh-CN"/>
        </w:rPr>
        <w:t xml:space="preserve">the counting whose new beam is </w:t>
      </w:r>
      <w:r>
        <w:rPr>
          <w:rFonts w:hint="eastAsia" w:eastAsia="宋体"/>
          <w:szCs w:val="21"/>
        </w:rPr>
        <w:t>not</w:t>
      </w:r>
      <w:r>
        <w:rPr>
          <w:rFonts w:eastAsia="宋体"/>
          <w:sz w:val="21"/>
          <w:szCs w:val="21"/>
          <w:lang w:eastAsia="zh-CN"/>
        </w:rPr>
        <w:t xml:space="preserve"> updated </w:t>
      </w:r>
      <w:r>
        <w:rPr>
          <w:rFonts w:hint="eastAsia" w:eastAsia="宋体"/>
          <w:sz w:val="21"/>
          <w:szCs w:val="21"/>
          <w:lang w:eastAsia="zh-CN"/>
        </w:rPr>
        <w:t xml:space="preserve">is </w:t>
      </w:r>
      <w:r>
        <w:rPr>
          <w:rFonts w:eastAsia="宋体"/>
          <w:sz w:val="21"/>
          <w:szCs w:val="21"/>
          <w:lang w:eastAsia="zh-CN"/>
        </w:rPr>
        <w:t>maintain</w:t>
      </w:r>
      <w:r>
        <w:rPr>
          <w:rFonts w:hint="eastAsia" w:eastAsia="宋体"/>
          <w:sz w:val="21"/>
          <w:szCs w:val="21"/>
          <w:lang w:eastAsia="zh-CN"/>
        </w:rPr>
        <w:t>ed</w:t>
      </w:r>
      <w:r>
        <w:rPr>
          <w:rFonts w:eastAsia="宋体"/>
          <w:sz w:val="21"/>
          <w:szCs w:val="21"/>
          <w:lang w:eastAsia="zh-CN"/>
        </w:rPr>
        <w:t>.</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Regarding the current beam, when scheme-1 is enabled, it is possible that the indicated TCI state is updated but the indicated QCL RS of QCL Type D does not change, then the counting should not reset. When scheme-2 is enabled, it is highly possible that the indicate TCI state is updated but the </w:t>
      </w:r>
      <w:r>
        <w:rPr>
          <w:rFonts w:eastAsia="宋体"/>
          <w:sz w:val="21"/>
          <w:szCs w:val="21"/>
          <w:lang w:eastAsia="zh-CN"/>
        </w:rPr>
        <w:t>SSB which is QCLed with the QCL RS in the indicated TCI state</w:t>
      </w:r>
      <w:r>
        <w:rPr>
          <w:rFonts w:hint="eastAsia" w:eastAsia="宋体"/>
          <w:sz w:val="21"/>
          <w:szCs w:val="21"/>
          <w:lang w:eastAsia="zh-CN"/>
        </w:rPr>
        <w:t xml:space="preserve"> does not change, then the counting should not reset. </w:t>
      </w:r>
      <w:r>
        <w:rPr>
          <w:rFonts w:hint="eastAsia"/>
          <w:sz w:val="21"/>
          <w:szCs w:val="21"/>
          <w:lang w:eastAsia="zh-CN"/>
        </w:rPr>
        <w:t>So, when</w:t>
      </w:r>
      <w:r>
        <w:rPr>
          <w:rFonts w:eastAsia="宋体"/>
          <w:sz w:val="21"/>
          <w:szCs w:val="21"/>
          <w:lang w:eastAsia="zh-CN"/>
        </w:rPr>
        <w:t xml:space="preserve"> </w:t>
      </w:r>
      <w:r>
        <w:rPr>
          <w:rFonts w:hint="eastAsia" w:eastAsia="宋体"/>
          <w:sz w:val="21"/>
          <w:szCs w:val="21"/>
          <w:lang w:eastAsia="zh-CN"/>
        </w:rPr>
        <w:t>t</w:t>
      </w:r>
      <w:r>
        <w:rPr>
          <w:rFonts w:eastAsia="宋体"/>
          <w:sz w:val="21"/>
          <w:szCs w:val="21"/>
          <w:lang w:eastAsia="zh-CN"/>
        </w:rPr>
        <w:t>he measured current beam based on indicated TCI state is updated</w:t>
      </w:r>
      <w:r>
        <w:rPr>
          <w:rFonts w:hint="eastAsia" w:eastAsia="宋体"/>
          <w:sz w:val="21"/>
          <w:szCs w:val="21"/>
          <w:lang w:eastAsia="zh-CN"/>
        </w:rPr>
        <w:t xml:space="preserve">, </w:t>
      </w:r>
      <w:r>
        <w:rPr>
          <w:rFonts w:eastAsia="宋体"/>
          <w:sz w:val="21"/>
          <w:szCs w:val="21"/>
          <w:lang w:eastAsia="zh-CN"/>
        </w:rPr>
        <w:t>UE need to reset the counting for all new beams.</w:t>
      </w:r>
    </w:p>
    <w:p>
      <w:pPr>
        <w:snapToGrid w:val="0"/>
        <w:spacing w:before="120" w:beforeLines="50" w:line="288" w:lineRule="auto"/>
        <w:jc w:val="both"/>
        <w:rPr>
          <w:rFonts w:hint="eastAsia" w:ascii="等线" w:hAnsi="等线" w:eastAsia="宋体"/>
          <w:b/>
          <w:bCs/>
          <w:i/>
          <w:iCs/>
          <w:szCs w:val="21"/>
        </w:rPr>
      </w:pPr>
      <w:r>
        <w:rPr>
          <w:rFonts w:hint="eastAsia" w:eastAsia="宋体"/>
          <w:b/>
          <w:bCs/>
          <w:i/>
          <w:iCs/>
          <w:sz w:val="21"/>
          <w:szCs w:val="21"/>
          <w:u w:val="single"/>
          <w:lang w:eastAsia="zh-CN"/>
        </w:rPr>
        <w:t>Proposal 1</w:t>
      </w:r>
      <w:r>
        <w:rPr>
          <w:rFonts w:hint="eastAsia" w:eastAsia="宋体"/>
          <w:b/>
          <w:bCs/>
          <w:i/>
          <w:iCs/>
          <w:sz w:val="21"/>
          <w:szCs w:val="21"/>
          <w:lang w:eastAsia="zh-CN"/>
        </w:rPr>
        <w:t xml:space="preserve">: When the </w:t>
      </w:r>
      <w:r>
        <w:rPr>
          <w:rFonts w:eastAsia="宋体"/>
          <w:b/>
          <w:bCs/>
          <w:i/>
          <w:iCs/>
          <w:sz w:val="21"/>
          <w:szCs w:val="21"/>
          <w:lang w:eastAsia="zh-CN"/>
        </w:rPr>
        <w:t>RS reconfiguration/update for new beam is received</w:t>
      </w:r>
      <w:r>
        <w:rPr>
          <w:rFonts w:hint="eastAsia" w:eastAsia="宋体"/>
          <w:b/>
          <w:bCs/>
          <w:i/>
          <w:iCs/>
          <w:sz w:val="21"/>
          <w:szCs w:val="21"/>
          <w:lang w:eastAsia="zh-CN"/>
        </w:rPr>
        <w:t>, the counting of the updated beam is reset</w:t>
      </w:r>
      <w:r>
        <w:rPr>
          <w:rFonts w:hint="eastAsia" w:eastAsia="宋体"/>
          <w:b/>
          <w:bCs/>
          <w:i/>
          <w:iCs/>
          <w:szCs w:val="21"/>
        </w:rPr>
        <w:t xml:space="preserve"> while </w:t>
      </w:r>
      <w:r>
        <w:rPr>
          <w:rFonts w:eastAsia="宋体"/>
          <w:b/>
          <w:bCs/>
          <w:i/>
          <w:iCs/>
          <w:sz w:val="21"/>
          <w:szCs w:val="21"/>
          <w:lang w:eastAsia="zh-CN"/>
        </w:rPr>
        <w:t xml:space="preserve">the counting whose new beam is </w:t>
      </w:r>
      <w:r>
        <w:rPr>
          <w:rFonts w:hint="eastAsia" w:eastAsia="宋体"/>
          <w:b/>
          <w:bCs/>
          <w:i/>
          <w:iCs/>
          <w:szCs w:val="21"/>
        </w:rPr>
        <w:t>not</w:t>
      </w:r>
      <w:r>
        <w:rPr>
          <w:rFonts w:eastAsia="宋体"/>
          <w:b/>
          <w:bCs/>
          <w:i/>
          <w:iCs/>
          <w:sz w:val="21"/>
          <w:szCs w:val="21"/>
          <w:lang w:eastAsia="zh-CN"/>
        </w:rPr>
        <w:t xml:space="preserve"> updated </w:t>
      </w:r>
      <w:r>
        <w:rPr>
          <w:rFonts w:hint="eastAsia" w:eastAsia="宋体"/>
          <w:b/>
          <w:bCs/>
          <w:i/>
          <w:iCs/>
          <w:sz w:val="21"/>
          <w:szCs w:val="21"/>
          <w:lang w:eastAsia="zh-CN"/>
        </w:rPr>
        <w:t xml:space="preserve">is </w:t>
      </w:r>
      <w:r>
        <w:rPr>
          <w:rFonts w:eastAsia="宋体"/>
          <w:b/>
          <w:bCs/>
          <w:i/>
          <w:iCs/>
          <w:sz w:val="21"/>
          <w:szCs w:val="21"/>
          <w:lang w:eastAsia="zh-CN"/>
        </w:rPr>
        <w:t>maintain</w:t>
      </w:r>
      <w:r>
        <w:rPr>
          <w:rFonts w:hint="eastAsia" w:eastAsia="宋体"/>
          <w:b/>
          <w:bCs/>
          <w:i/>
          <w:iCs/>
          <w:sz w:val="21"/>
          <w:szCs w:val="21"/>
          <w:lang w:eastAsia="zh-CN"/>
        </w:rPr>
        <w:t>ed</w:t>
      </w:r>
      <w:r>
        <w:rPr>
          <w:rFonts w:eastAsia="宋体"/>
          <w:b/>
          <w:bCs/>
          <w:i/>
          <w:iCs/>
          <w:sz w:val="21"/>
          <w:szCs w:val="21"/>
          <w:lang w:eastAsia="zh-CN"/>
        </w:rPr>
        <w:t>.</w:t>
      </w:r>
      <w:r>
        <w:rPr>
          <w:rFonts w:hint="eastAsia" w:eastAsia="宋体"/>
          <w:b/>
          <w:bCs/>
          <w:i/>
          <w:iCs/>
          <w:sz w:val="21"/>
          <w:szCs w:val="21"/>
          <w:lang w:eastAsia="zh-CN"/>
        </w:rPr>
        <w:t xml:space="preserve"> </w:t>
      </w:r>
      <w:r>
        <w:rPr>
          <w:rFonts w:hint="eastAsia"/>
          <w:b/>
          <w:bCs/>
          <w:i/>
          <w:iCs/>
          <w:sz w:val="21"/>
          <w:szCs w:val="21"/>
          <w:lang w:eastAsia="zh-CN"/>
        </w:rPr>
        <w:t>When</w:t>
      </w:r>
      <w:r>
        <w:rPr>
          <w:rFonts w:eastAsia="宋体"/>
          <w:b/>
          <w:bCs/>
          <w:i/>
          <w:iCs/>
          <w:sz w:val="21"/>
          <w:szCs w:val="21"/>
          <w:lang w:eastAsia="zh-CN"/>
        </w:rPr>
        <w:t xml:space="preserve"> </w:t>
      </w:r>
      <w:r>
        <w:rPr>
          <w:rFonts w:hint="eastAsia" w:eastAsia="宋体"/>
          <w:b/>
          <w:bCs/>
          <w:i/>
          <w:iCs/>
          <w:sz w:val="21"/>
          <w:szCs w:val="21"/>
          <w:lang w:eastAsia="zh-CN"/>
        </w:rPr>
        <w:t>t</w:t>
      </w:r>
      <w:r>
        <w:rPr>
          <w:rFonts w:eastAsia="宋体"/>
          <w:b/>
          <w:bCs/>
          <w:i/>
          <w:iCs/>
          <w:sz w:val="21"/>
          <w:szCs w:val="21"/>
          <w:lang w:eastAsia="zh-CN"/>
        </w:rPr>
        <w:t>he measured current beam based on indicated TCI state is updated</w:t>
      </w:r>
      <w:r>
        <w:rPr>
          <w:rFonts w:hint="eastAsia" w:eastAsia="宋体"/>
          <w:b/>
          <w:bCs/>
          <w:i/>
          <w:iCs/>
          <w:sz w:val="21"/>
          <w:szCs w:val="21"/>
          <w:lang w:eastAsia="zh-CN"/>
        </w:rPr>
        <w:t xml:space="preserve">, </w:t>
      </w:r>
      <w:r>
        <w:rPr>
          <w:rFonts w:eastAsia="宋体"/>
          <w:b/>
          <w:bCs/>
          <w:i/>
          <w:iCs/>
          <w:sz w:val="21"/>
          <w:szCs w:val="21"/>
          <w:lang w:eastAsia="zh-CN"/>
        </w:rPr>
        <w:t>UE need to reset the counting for all new beams.</w:t>
      </w:r>
    </w:p>
    <w:p>
      <w:pPr>
        <w:snapToGrid w:val="0"/>
        <w:spacing w:before="120" w:beforeLines="50" w:line="288" w:lineRule="auto"/>
        <w:jc w:val="both"/>
        <w:rPr>
          <w:rFonts w:hint="eastAsia"/>
          <w:sz w:val="21"/>
          <w:szCs w:val="21"/>
          <w:lang w:eastAsia="zh-CN"/>
        </w:rPr>
      </w:pPr>
    </w:p>
    <w:p>
      <w:pPr>
        <w:adjustRightInd w:val="0"/>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2.2 E</w:t>
      </w:r>
      <w:r>
        <w:rPr>
          <w:rFonts w:ascii="Arial" w:hAnsi="Arial" w:cs="Arial"/>
          <w:b/>
          <w:sz w:val="24"/>
          <w:szCs w:val="24"/>
          <w:lang w:eastAsia="zh-CN"/>
        </w:rPr>
        <w:t>valuation periodicity for determining Event-2 instance</w:t>
      </w:r>
    </w:p>
    <w:p>
      <w:pPr>
        <w:snapToGrid w:val="0"/>
        <w:spacing w:before="120" w:beforeLines="50" w:line="288" w:lineRule="auto"/>
        <w:jc w:val="both"/>
        <w:rPr>
          <w:sz w:val="21"/>
          <w:szCs w:val="21"/>
          <w:lang w:eastAsia="zh-CN"/>
        </w:rPr>
      </w:pPr>
      <w:r>
        <w:rPr>
          <w:rFonts w:hint="eastAsia"/>
          <w:sz w:val="21"/>
          <w:szCs w:val="21"/>
          <w:lang w:eastAsia="zh-CN"/>
        </w:rPr>
        <w:t xml:space="preserve">In RAN1#118bis meeting [2], the agreement related to the </w:t>
      </w:r>
      <w:r>
        <w:rPr>
          <w:rFonts w:eastAsia="宋体"/>
          <w:color w:val="000000"/>
        </w:rPr>
        <w:t>evaluation periodicity for determining Event-2 instance</w:t>
      </w:r>
      <w:r>
        <w:rPr>
          <w:rFonts w:hint="eastAsia"/>
          <w:sz w:val="21"/>
          <w:szCs w:val="21"/>
          <w:lang w:eastAsia="zh-CN"/>
        </w:rPr>
        <w:t xml:space="preserve">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bCs/>
                <w:highlight w:val="green"/>
                <w:lang w:eastAsia="zh-CN"/>
              </w:rPr>
            </w:pPr>
            <w:r>
              <w:rPr>
                <w:rFonts w:eastAsia="Batang"/>
                <w:b/>
                <w:highlight w:val="green"/>
              </w:rPr>
              <w:t>[</w:t>
            </w:r>
            <w:r>
              <w:rPr>
                <w:b/>
                <w:bCs/>
                <w:highlight w:val="green"/>
                <w:lang w:eastAsia="zh-CN"/>
              </w:rPr>
              <w:t>118b] Agreement</w:t>
            </w:r>
          </w:p>
          <w:p>
            <w:pPr>
              <w:shd w:val="clear" w:color="auto" w:fill="FFFFFF"/>
              <w:snapToGrid w:val="0"/>
              <w:jc w:val="both"/>
              <w:rPr>
                <w:rFonts w:eastAsia="宋体"/>
                <w:color w:val="000000"/>
              </w:rPr>
            </w:pPr>
            <w:r>
              <w:rPr>
                <w:rFonts w:eastAsia="宋体"/>
                <w:color w:val="000000"/>
              </w:rPr>
              <w:t>Regarding the triggering event determination for Event 2, down-select among the following alternatives for the evaluation periodicity for determining Event-2 instance [at least when DRX is not configured]</w:t>
            </w:r>
          </w:p>
          <w:p>
            <w:pPr>
              <w:numPr>
                <w:ilvl w:val="0"/>
                <w:numId w:val="8"/>
              </w:numPr>
              <w:shd w:val="clear" w:color="auto" w:fill="FFFFFF"/>
              <w:snapToGrid w:val="0"/>
              <w:jc w:val="both"/>
              <w:rPr>
                <w:rFonts w:eastAsia="宋体"/>
                <w:color w:val="000000"/>
              </w:rPr>
            </w:pPr>
            <w:r>
              <w:rPr>
                <w:rFonts w:eastAsia="宋体"/>
                <w:color w:val="000000"/>
              </w:rPr>
              <w:t>Alt-1: The periodicity of the current beam RS should be the same as that of the new beam RS(s).</w:t>
            </w:r>
          </w:p>
          <w:p>
            <w:pPr>
              <w:numPr>
                <w:ilvl w:val="1"/>
                <w:numId w:val="8"/>
              </w:numPr>
              <w:shd w:val="clear" w:color="auto" w:fill="FFFFFF"/>
              <w:snapToGrid w:val="0"/>
              <w:jc w:val="both"/>
              <w:rPr>
                <w:rFonts w:eastAsia="宋体"/>
                <w:color w:val="000000"/>
              </w:rPr>
            </w:pPr>
            <w:r>
              <w:rPr>
                <w:rFonts w:eastAsia="宋体"/>
                <w:color w:val="000000"/>
              </w:rPr>
              <w:t>The evaluation periodicity is the same as the periodicity of the current and new beam RS(s)</w:t>
            </w:r>
          </w:p>
          <w:p>
            <w:pPr>
              <w:numPr>
                <w:ilvl w:val="0"/>
                <w:numId w:val="8"/>
              </w:numPr>
              <w:shd w:val="clear" w:color="auto" w:fill="FFFFFF"/>
              <w:snapToGrid w:val="0"/>
              <w:jc w:val="both"/>
              <w:rPr>
                <w:rFonts w:eastAsia="宋体"/>
                <w:color w:val="000000"/>
              </w:rPr>
            </w:pPr>
            <w:r>
              <w:rPr>
                <w:rFonts w:eastAsia="宋体"/>
                <w:color w:val="000000"/>
              </w:rPr>
              <w:t xml:space="preserve">Alt-2: </w:t>
            </w:r>
            <w:bookmarkStart w:id="1" w:name="_Hlk181815851"/>
            <w:r>
              <w:rPr>
                <w:rFonts w:eastAsia="宋体"/>
                <w:color w:val="000000"/>
              </w:rPr>
              <w:t>The periodicity of the current beam RS can be different from that of the new beam RS(s)</w:t>
            </w:r>
          </w:p>
          <w:p>
            <w:pPr>
              <w:numPr>
                <w:ilvl w:val="1"/>
                <w:numId w:val="8"/>
              </w:numPr>
              <w:shd w:val="clear" w:color="auto" w:fill="FFFFFF"/>
              <w:snapToGrid w:val="0"/>
              <w:jc w:val="both"/>
              <w:rPr>
                <w:rFonts w:eastAsia="宋体"/>
                <w:color w:val="000000"/>
              </w:rPr>
            </w:pPr>
            <w:r>
              <w:rPr>
                <w:rFonts w:eastAsia="宋体"/>
                <w:color w:val="000000"/>
              </w:rPr>
              <w:t xml:space="preserve">Alt-2_1: The evaluation periodicity is the same as the periodicity of the current beam RS; </w:t>
            </w:r>
          </w:p>
          <w:p>
            <w:pPr>
              <w:numPr>
                <w:ilvl w:val="1"/>
                <w:numId w:val="8"/>
              </w:numPr>
              <w:shd w:val="clear" w:color="auto" w:fill="FFFFFF"/>
              <w:snapToGrid w:val="0"/>
              <w:jc w:val="both"/>
              <w:rPr>
                <w:rFonts w:eastAsia="宋体"/>
                <w:color w:val="000000"/>
              </w:rPr>
            </w:pPr>
            <w:r>
              <w:rPr>
                <w:rFonts w:eastAsia="宋体"/>
                <w:color w:val="000000"/>
              </w:rPr>
              <w:t>Alt-2_2: The evaluation periodicity is the same as periodicity of the new beam RS;</w:t>
            </w:r>
          </w:p>
          <w:p>
            <w:pPr>
              <w:numPr>
                <w:ilvl w:val="1"/>
                <w:numId w:val="8"/>
              </w:numPr>
              <w:shd w:val="clear" w:color="auto" w:fill="FFFFFF"/>
              <w:snapToGrid w:val="0"/>
              <w:jc w:val="both"/>
              <w:rPr>
                <w:rFonts w:eastAsia="宋体"/>
                <w:color w:val="000000"/>
              </w:rPr>
            </w:pPr>
            <w:r>
              <w:rPr>
                <w:rFonts w:eastAsia="宋体"/>
                <w:color w:val="000000"/>
              </w:rPr>
              <w:t xml:space="preserve">Alt-2_3: The evaluation periodicity is the same as shortest periodicity of the current beam RS and new beam RS(s): </w:t>
            </w:r>
          </w:p>
          <w:p>
            <w:pPr>
              <w:numPr>
                <w:ilvl w:val="1"/>
                <w:numId w:val="8"/>
              </w:numPr>
              <w:shd w:val="clear" w:color="auto" w:fill="FFFFFF"/>
              <w:snapToGrid w:val="0"/>
              <w:jc w:val="both"/>
              <w:rPr>
                <w:rFonts w:eastAsia="宋体"/>
                <w:color w:val="000000"/>
              </w:rPr>
            </w:pPr>
            <w:r>
              <w:rPr>
                <w:rFonts w:eastAsia="宋体"/>
                <w:color w:val="000000"/>
              </w:rPr>
              <w:t>Alt-2_4: The evaluation periodicity is the maximum of {X ms, shortest periodicity of the current beam RS and new beam RS(s)}:</w:t>
            </w:r>
          </w:p>
          <w:p>
            <w:pPr>
              <w:numPr>
                <w:ilvl w:val="1"/>
                <w:numId w:val="8"/>
              </w:numPr>
              <w:shd w:val="clear" w:color="auto" w:fill="FFFFFF"/>
              <w:snapToGrid w:val="0"/>
              <w:jc w:val="both"/>
              <w:rPr>
                <w:rFonts w:eastAsia="宋体"/>
                <w:color w:val="000000"/>
              </w:rPr>
            </w:pPr>
            <w:r>
              <w:rPr>
                <w:rFonts w:eastAsia="宋体"/>
                <w:color w:val="000000"/>
              </w:rPr>
              <w:t xml:space="preserve">Alt-2_5: The evaluation periodicity is the same as largest periodicity of the current beam RS and new beam RS(s): </w:t>
            </w:r>
          </w:p>
          <w:bookmarkEnd w:id="1"/>
          <w:p>
            <w:pPr>
              <w:shd w:val="clear" w:color="auto" w:fill="FFFFFF"/>
              <w:snapToGrid w:val="0"/>
              <w:jc w:val="both"/>
              <w:rPr>
                <w:rFonts w:eastAsia="宋体"/>
                <w:color w:val="000000"/>
                <w:lang w:eastAsia="zh-CN"/>
              </w:rPr>
            </w:pPr>
            <w:r>
              <w:rPr>
                <w:rFonts w:eastAsia="宋体"/>
                <w:color w:val="000000"/>
              </w:rPr>
              <w:t xml:space="preserve">Note: There is the same periodicity for the new beam RS(s). </w:t>
            </w:r>
          </w:p>
        </w:tc>
      </w:tr>
    </w:tbl>
    <w:p>
      <w:pPr>
        <w:snapToGrid w:val="0"/>
        <w:spacing w:before="120" w:beforeLines="50" w:line="288" w:lineRule="auto"/>
        <w:jc w:val="both"/>
        <w:rPr>
          <w:rFonts w:eastAsia="宋体"/>
          <w:sz w:val="21"/>
          <w:szCs w:val="21"/>
          <w:lang w:eastAsia="zh-CN"/>
        </w:rPr>
      </w:pPr>
      <w:r>
        <w:rPr>
          <w:rFonts w:hint="eastAsia" w:eastAsia="宋体"/>
          <w:sz w:val="21"/>
          <w:szCs w:val="21"/>
          <w:lang w:eastAsia="zh-CN"/>
        </w:rPr>
        <w:t>From network</w:t>
      </w:r>
      <w:r>
        <w:rPr>
          <w:rFonts w:eastAsia="宋体"/>
          <w:sz w:val="21"/>
          <w:szCs w:val="21"/>
          <w:lang w:eastAsia="zh-CN"/>
        </w:rPr>
        <w:t>’</w:t>
      </w:r>
      <w:r>
        <w:rPr>
          <w:rFonts w:hint="eastAsia" w:eastAsia="宋体"/>
          <w:sz w:val="21"/>
          <w:szCs w:val="21"/>
          <w:lang w:eastAsia="zh-CN"/>
        </w:rPr>
        <w:t xml:space="preserve">s perspective, it is too restrictive to have same periodicity of current beam RS and new beam RS(s). Firstly, it is possible that network indicates a TCI state with QCL-RS different from the new beam RS(s) based on legacy periodic L1-RSRP beam reporting. As shown in Fig.1, the current beam is the indicated QCL-RS (RS-1), which is not included </w:t>
      </w:r>
      <w:r>
        <w:rPr>
          <w:rFonts w:eastAsia="宋体"/>
          <w:sz w:val="21"/>
          <w:szCs w:val="21"/>
          <w:lang w:eastAsia="zh-CN"/>
        </w:rPr>
        <w:t>in the</w:t>
      </w:r>
      <w:r>
        <w:rPr>
          <w:rFonts w:hint="eastAsia" w:eastAsia="宋体"/>
          <w:sz w:val="21"/>
          <w:szCs w:val="21"/>
          <w:lang w:eastAsia="zh-CN"/>
        </w:rPr>
        <w:t xml:space="preserve"> new beam RS(s). The periodicity of current beam RS and new beam RS(s) may be different. Secondly, to consider the </w:t>
      </w:r>
      <w:r>
        <w:rPr>
          <w:rFonts w:eastAsia="宋体"/>
          <w:sz w:val="21"/>
          <w:szCs w:val="21"/>
          <w:lang w:eastAsia="zh-CN"/>
        </w:rPr>
        <w:t>cross-CC TCI</w:t>
      </w:r>
      <w:r>
        <w:rPr>
          <w:rFonts w:hint="eastAsia" w:eastAsia="宋体"/>
          <w:sz w:val="21"/>
          <w:szCs w:val="21"/>
          <w:lang w:eastAsia="zh-CN"/>
        </w:rPr>
        <w:t xml:space="preserve"> state update, it is possible that the current beam is RS from another CC. As shown in Fig.1, when the TCI state of CC2 is updated, then TCI state of CC1 is updated simultaneously and the current beam for CC1 is RS-5 from CC2, which periodicity may be different from new beam RS(s). </w:t>
      </w:r>
    </w:p>
    <w:p>
      <w:pPr>
        <w:snapToGrid w:val="0"/>
        <w:spacing w:before="120" w:beforeLines="50" w:line="288" w:lineRule="auto"/>
        <w:jc w:val="center"/>
        <w:rPr>
          <w:sz w:val="21"/>
          <w:szCs w:val="21"/>
          <w:lang w:eastAsia="zh-CN"/>
        </w:rPr>
      </w:pPr>
      <w:r>
        <w:rPr>
          <w:sz w:val="21"/>
          <w:szCs w:val="21"/>
          <w:lang w:eastAsia="zh-CN"/>
        </w:rPr>
        <w:drawing>
          <wp:inline distT="0" distB="0" distL="0" distR="0">
            <wp:extent cx="3350260" cy="1100455"/>
            <wp:effectExtent l="0" t="0" r="2540" b="4445"/>
            <wp:docPr id="8088337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83376" name="图片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379229" cy="1110249"/>
                    </a:xfrm>
                    <a:prstGeom prst="rect">
                      <a:avLst/>
                    </a:prstGeom>
                    <a:noFill/>
                  </pic:spPr>
                </pic:pic>
              </a:graphicData>
            </a:graphic>
          </wp:inline>
        </w:drawing>
      </w:r>
    </w:p>
    <w:p>
      <w:pPr>
        <w:snapToGrid w:val="0"/>
        <w:spacing w:before="120" w:beforeLines="50" w:line="288" w:lineRule="auto"/>
        <w:jc w:val="center"/>
        <w:rPr>
          <w:rFonts w:hint="eastAsia"/>
          <w:sz w:val="21"/>
          <w:szCs w:val="21"/>
          <w:lang w:eastAsia="zh-CN"/>
        </w:rPr>
      </w:pPr>
      <w:r>
        <w:rPr>
          <w:rFonts w:hint="eastAsia"/>
          <w:sz w:val="21"/>
          <w:szCs w:val="21"/>
          <w:lang w:eastAsia="zh-CN"/>
        </w:rPr>
        <w:t>Fig.1 TCI state update cross CC leads to different periodicities between current beam and new beam.</w:t>
      </w:r>
    </w:p>
    <w:p>
      <w:pPr>
        <w:snapToGrid w:val="0"/>
        <w:spacing w:before="120" w:beforeLines="50" w:line="288" w:lineRule="auto"/>
        <w:jc w:val="both"/>
        <w:rPr>
          <w:rFonts w:hint="eastAsia" w:eastAsia="宋体"/>
          <w:sz w:val="21"/>
          <w:szCs w:val="21"/>
          <w:lang w:eastAsia="zh-CN"/>
        </w:rPr>
      </w:pPr>
      <w:r>
        <w:rPr>
          <w:rFonts w:hint="eastAsia" w:eastAsia="宋体"/>
          <w:sz w:val="21"/>
          <w:szCs w:val="21"/>
          <w:lang w:eastAsia="zh-CN"/>
        </w:rPr>
        <w:t xml:space="preserve">To further consider the 5 alternatives listed in the agreement for Alt-2, Alt-2_1 and Alt-2_2 may lead to too large or too small </w:t>
      </w:r>
      <w:r>
        <w:rPr>
          <w:rFonts w:eastAsia="宋体"/>
          <w:sz w:val="21"/>
          <w:szCs w:val="21"/>
          <w:lang w:eastAsia="zh-CN"/>
        </w:rPr>
        <w:t>periodicity</w:t>
      </w:r>
      <w:r>
        <w:rPr>
          <w:rFonts w:hint="eastAsia" w:eastAsia="宋体"/>
          <w:sz w:val="21"/>
          <w:szCs w:val="21"/>
          <w:lang w:eastAsia="zh-CN"/>
        </w:rPr>
        <w:t xml:space="preserve"> of evaluation. Alt-2_3 may lead to frequently evaluation while with some measurement results outdated. Alt-2_5 may lead to large latency of </w:t>
      </w:r>
      <w:r>
        <w:rPr>
          <w:rFonts w:eastAsia="宋体"/>
          <w:sz w:val="21"/>
          <w:szCs w:val="21"/>
          <w:lang w:eastAsia="zh-CN"/>
        </w:rPr>
        <w:t>UE-initiated/event-driven beam reporting.</w:t>
      </w:r>
      <w:r>
        <w:rPr>
          <w:rFonts w:hint="eastAsia" w:eastAsia="宋体"/>
          <w:sz w:val="21"/>
          <w:szCs w:val="21"/>
          <w:lang w:eastAsia="zh-CN"/>
        </w:rPr>
        <w:t xml:space="preserve"> </w:t>
      </w:r>
      <w:r>
        <w:rPr>
          <w:rFonts w:eastAsia="宋体"/>
          <w:color w:val="000000"/>
          <w:sz w:val="21"/>
          <w:szCs w:val="21"/>
        </w:rPr>
        <w:t>Alt-2_4</w:t>
      </w:r>
      <w:r>
        <w:rPr>
          <w:rFonts w:hint="eastAsia" w:eastAsia="宋体"/>
          <w:color w:val="000000"/>
          <w:sz w:val="21"/>
          <w:szCs w:val="21"/>
          <w:lang w:eastAsia="zh-CN"/>
        </w:rPr>
        <w:t xml:space="preserve"> is a </w:t>
      </w:r>
      <w:r>
        <w:rPr>
          <w:rFonts w:eastAsia="宋体"/>
          <w:color w:val="000000"/>
          <w:sz w:val="21"/>
          <w:szCs w:val="21"/>
          <w:lang w:eastAsia="zh-CN"/>
        </w:rPr>
        <w:t>trade-off</w:t>
      </w:r>
      <w:r>
        <w:rPr>
          <w:rFonts w:hint="eastAsia" w:eastAsia="宋体"/>
          <w:color w:val="000000"/>
          <w:sz w:val="21"/>
          <w:szCs w:val="21"/>
          <w:lang w:eastAsia="zh-CN"/>
        </w:rPr>
        <w:t xml:space="preserve"> </w:t>
      </w:r>
      <w:r>
        <w:rPr>
          <w:rFonts w:eastAsia="宋体"/>
          <w:color w:val="000000"/>
          <w:sz w:val="21"/>
          <w:szCs w:val="21"/>
          <w:lang w:eastAsia="zh-CN"/>
        </w:rPr>
        <w:t>between</w:t>
      </w:r>
      <w:r>
        <w:rPr>
          <w:rFonts w:hint="eastAsia" w:eastAsia="宋体"/>
          <w:color w:val="000000"/>
          <w:sz w:val="21"/>
          <w:szCs w:val="21"/>
          <w:lang w:eastAsia="zh-CN"/>
        </w:rPr>
        <w:t xml:space="preserve"> evaluation accuracy and reporting latency among all the </w:t>
      </w:r>
      <w:r>
        <w:rPr>
          <w:rFonts w:hint="eastAsia" w:eastAsia="宋体"/>
          <w:sz w:val="21"/>
          <w:szCs w:val="21"/>
          <w:lang w:eastAsia="zh-CN"/>
        </w:rPr>
        <w:t>alternatives.</w:t>
      </w:r>
    </w:p>
    <w:p>
      <w:pPr>
        <w:snapToGrid w:val="0"/>
        <w:spacing w:before="120" w:beforeLines="50" w:line="288" w:lineRule="auto"/>
        <w:jc w:val="both"/>
        <w:rPr>
          <w:rFonts w:hint="eastAsia" w:eastAsia="宋体"/>
          <w:b/>
          <w:bCs/>
          <w:i/>
          <w:iCs/>
          <w:sz w:val="21"/>
          <w:szCs w:val="21"/>
          <w:lang w:eastAsia="zh-CN"/>
        </w:rPr>
      </w:pPr>
      <w:r>
        <w:rPr>
          <w:rFonts w:hint="eastAsia" w:eastAsia="宋体"/>
          <w:b/>
          <w:bCs/>
          <w:i/>
          <w:iCs/>
          <w:sz w:val="21"/>
          <w:szCs w:val="21"/>
          <w:u w:val="single"/>
          <w:lang w:eastAsia="zh-CN"/>
        </w:rPr>
        <w:t>Proposal 2</w:t>
      </w:r>
      <w:r>
        <w:rPr>
          <w:rFonts w:hint="eastAsia" w:eastAsia="宋体"/>
          <w:b/>
          <w:bCs/>
          <w:i/>
          <w:iCs/>
          <w:sz w:val="21"/>
          <w:szCs w:val="21"/>
          <w:lang w:eastAsia="zh-CN"/>
        </w:rPr>
        <w:t xml:space="preserve">: </w:t>
      </w:r>
      <w:r>
        <w:rPr>
          <w:rFonts w:eastAsia="宋体"/>
          <w:b/>
          <w:bCs/>
          <w:i/>
          <w:iCs/>
          <w:sz w:val="21"/>
          <w:szCs w:val="21"/>
          <w:lang w:eastAsia="zh-CN"/>
        </w:rPr>
        <w:t>The periodicity of the current beam RS can be different from that of the new beam RS(s)</w:t>
      </w:r>
      <w:r>
        <w:rPr>
          <w:rFonts w:hint="eastAsia" w:eastAsia="宋体"/>
          <w:b/>
          <w:bCs/>
          <w:i/>
          <w:iCs/>
          <w:sz w:val="21"/>
          <w:szCs w:val="21"/>
          <w:lang w:eastAsia="zh-CN"/>
        </w:rPr>
        <w:t xml:space="preserve">. </w:t>
      </w:r>
      <w:r>
        <w:rPr>
          <w:rFonts w:eastAsia="宋体"/>
          <w:b/>
          <w:bCs/>
          <w:i/>
          <w:iCs/>
          <w:sz w:val="21"/>
          <w:szCs w:val="21"/>
          <w:lang w:eastAsia="zh-CN"/>
        </w:rPr>
        <w:t>The evaluation periodicity is the maximum of {X ms, shortest periodicity of the current beam RS and new beam RS(s)}</w:t>
      </w:r>
      <w:r>
        <w:rPr>
          <w:rFonts w:hint="eastAsia" w:eastAsia="宋体"/>
          <w:b/>
          <w:bCs/>
          <w:i/>
          <w:iCs/>
          <w:sz w:val="21"/>
          <w:szCs w:val="21"/>
          <w:lang w:eastAsia="zh-CN"/>
        </w:rPr>
        <w:t>.</w:t>
      </w:r>
    </w:p>
    <w:p>
      <w:pPr>
        <w:snapToGrid w:val="0"/>
        <w:spacing w:before="120" w:beforeLines="50" w:line="288" w:lineRule="auto"/>
        <w:jc w:val="both"/>
        <w:rPr>
          <w:rFonts w:hint="eastAsia" w:eastAsia="宋体"/>
          <w:sz w:val="21"/>
          <w:szCs w:val="21"/>
          <w:lang w:eastAsia="zh-CN"/>
        </w:rPr>
      </w:pP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rPr>
        <w:t>2.</w:t>
      </w:r>
      <w:r>
        <w:rPr>
          <w:rFonts w:hint="eastAsia" w:ascii="Arial" w:hAnsi="Arial" w:cs="Arial"/>
          <w:b/>
          <w:sz w:val="24"/>
          <w:szCs w:val="24"/>
          <w:lang w:eastAsia="zh-CN"/>
        </w:rPr>
        <w:t>3</w:t>
      </w:r>
      <w:r>
        <w:rPr>
          <w:rFonts w:hint="eastAsia" w:ascii="Arial" w:hAnsi="Arial" w:cs="Arial"/>
          <w:b/>
          <w:sz w:val="24"/>
          <w:szCs w:val="24"/>
        </w:rPr>
        <w:t xml:space="preserve"> Trigger event</w:t>
      </w:r>
    </w:p>
    <w:p>
      <w:pPr>
        <w:snapToGrid w:val="0"/>
        <w:spacing w:before="120" w:beforeLines="50" w:line="288" w:lineRule="auto"/>
        <w:jc w:val="both"/>
        <w:rPr>
          <w:sz w:val="21"/>
          <w:szCs w:val="21"/>
          <w:lang w:eastAsia="zh-CN"/>
        </w:rPr>
      </w:pPr>
      <w:r>
        <w:rPr>
          <w:rFonts w:hint="eastAsia"/>
          <w:sz w:val="21"/>
          <w:szCs w:val="21"/>
          <w:lang w:eastAsia="zh-CN"/>
        </w:rPr>
        <w:t>In RAN1#118 meeting [3], the working assumption related to trigger-event detection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adjustRightInd w:val="0"/>
              <w:snapToGrid w:val="0"/>
              <w:jc w:val="both"/>
              <w:rPr>
                <w:rFonts w:eastAsia="宋体"/>
                <w:iCs/>
                <w:highlight w:val="darkYellow"/>
              </w:rPr>
            </w:pPr>
            <w:r>
              <w:rPr>
                <w:rFonts w:eastAsia="宋体"/>
                <w:iCs/>
                <w:highlight w:val="darkYellow"/>
              </w:rPr>
              <w:t>Working Assumption</w:t>
            </w:r>
          </w:p>
          <w:p>
            <w:pPr>
              <w:adjustRightInd w:val="0"/>
              <w:snapToGrid w:val="0"/>
              <w:jc w:val="both"/>
            </w:pPr>
            <w:r>
              <w:t xml:space="preserve">On UE-initiated/event-driven beam reporting, regarding trigger events, besides for Event-2, </w:t>
            </w:r>
            <w:r>
              <w:rPr>
                <w:rFonts w:eastAsia="Malgun Gothic"/>
              </w:rPr>
              <w:t xml:space="preserve">Event-1 and Event-7 are </w:t>
            </w:r>
            <w:r>
              <w:t>both</w:t>
            </w:r>
            <w:r>
              <w:rPr>
                <w:rFonts w:eastAsia="Malgun Gothic"/>
              </w:rPr>
              <w:t xml:space="preserve"> supported.</w:t>
            </w:r>
          </w:p>
          <w:p>
            <w:pPr>
              <w:numPr>
                <w:ilvl w:val="0"/>
                <w:numId w:val="9"/>
              </w:numPr>
              <w:adjustRightInd w:val="0"/>
              <w:snapToGrid w:val="0"/>
              <w:jc w:val="both"/>
            </w:pPr>
            <w:r>
              <w:t>Event-1: Quality of the current beam is worse than a certain threshold.</w:t>
            </w:r>
          </w:p>
          <w:p>
            <w:pPr>
              <w:numPr>
                <w:ilvl w:val="0"/>
                <w:numId w:val="9"/>
              </w:numPr>
              <w:adjustRightInd w:val="0"/>
              <w:snapToGrid w:val="0"/>
              <w:jc w:val="both"/>
            </w:pPr>
            <w:r>
              <w:rPr>
                <w:rFonts w:eastAsia="PMingLiU"/>
                <w:lang w:eastAsia="zh-TW"/>
              </w:rPr>
              <w:t>Event-7</w:t>
            </w:r>
            <w:r>
              <w:rPr>
                <w:lang w:eastAsia="zh-TW"/>
              </w:rPr>
              <w:t xml:space="preserve">: </w:t>
            </w:r>
            <w:r>
              <w:t>Quality of at least one new beam, such as L1-RSRP, becomes a threshold value better than the RS</w:t>
            </w:r>
            <w:r>
              <w:rPr>
                <w:rFonts w:eastAsia="PMingLiU"/>
                <w:lang w:eastAsia="zh-TW"/>
              </w:rPr>
              <w:t xml:space="preserve"> de</w:t>
            </w:r>
            <w:r>
              <w:t>rived from the activated TCI state with the M-th best quality.</w:t>
            </w:r>
          </w:p>
          <w:p>
            <w:pPr>
              <w:numPr>
                <w:ilvl w:val="1"/>
                <w:numId w:val="9"/>
              </w:numPr>
              <w:adjustRightInd w:val="0"/>
              <w:snapToGrid w:val="0"/>
              <w:jc w:val="both"/>
            </w:pPr>
            <w:r>
              <w:t>M is RRC configured with subjective to UE capability signalling</w:t>
            </w:r>
          </w:p>
          <w:p>
            <w:pPr>
              <w:numPr>
                <w:ilvl w:val="2"/>
                <w:numId w:val="9"/>
              </w:numPr>
              <w:adjustRightInd w:val="0"/>
              <w:snapToGrid w:val="0"/>
              <w:jc w:val="both"/>
            </w:pPr>
            <w:r>
              <w:t xml:space="preserve">UE may only indicate a single candidate value or not support Event-7. </w:t>
            </w:r>
          </w:p>
          <w:p>
            <w:pPr>
              <w:numPr>
                <w:ilvl w:val="0"/>
                <w:numId w:val="9"/>
              </w:numPr>
              <w:adjustRightInd w:val="0"/>
              <w:snapToGrid w:val="0"/>
              <w:jc w:val="both"/>
            </w:pPr>
            <w:r>
              <w:t>The additionally supported events will reuse the same design as event 2 – unless there is consensus to do otherwise</w:t>
            </w:r>
          </w:p>
          <w:p>
            <w:pPr>
              <w:numPr>
                <w:ilvl w:val="0"/>
                <w:numId w:val="9"/>
              </w:numPr>
              <w:adjustRightInd w:val="0"/>
              <w:snapToGrid w:val="0"/>
              <w:jc w:val="both"/>
            </w:pPr>
            <w:r>
              <w:t>The additionally supported events will be lower priority compared to event 2.</w:t>
            </w:r>
          </w:p>
        </w:tc>
      </w:tr>
    </w:tbl>
    <w:p>
      <w:pPr>
        <w:snapToGrid w:val="0"/>
        <w:spacing w:before="120" w:beforeLines="50" w:line="288" w:lineRule="auto"/>
        <w:jc w:val="both"/>
        <w:rPr>
          <w:rFonts w:eastAsiaTheme="minorEastAsia"/>
          <w:bCs/>
          <w:iCs/>
          <w:sz w:val="21"/>
          <w:szCs w:val="21"/>
          <w:lang w:eastAsia="zh-CN"/>
        </w:rPr>
      </w:pPr>
      <w:r>
        <w:rPr>
          <w:rFonts w:hint="eastAsia" w:eastAsiaTheme="minorEastAsia"/>
          <w:bCs/>
          <w:iCs/>
          <w:sz w:val="21"/>
          <w:szCs w:val="21"/>
          <w:lang w:eastAsia="zh-CN"/>
        </w:rPr>
        <w:t>Event-2</w:t>
      </w:r>
      <w:r>
        <w:rPr>
          <w:sz w:val="21"/>
          <w:szCs w:val="21"/>
          <w:lang w:eastAsia="zh-CN"/>
        </w:rPr>
        <w:t xml:space="preserve"> </w:t>
      </w:r>
      <w:r>
        <w:rPr>
          <w:rFonts w:hint="eastAsia"/>
          <w:sz w:val="21"/>
          <w:szCs w:val="21"/>
          <w:lang w:eastAsia="zh-CN"/>
        </w:rPr>
        <w:t>(Q</w:t>
      </w:r>
      <w:r>
        <w:rPr>
          <w:sz w:val="21"/>
          <w:szCs w:val="21"/>
          <w:lang w:eastAsia="zh-CN"/>
        </w:rPr>
        <w:t>uality of at least one new beam, such as L1-RSRP, becomes a threshold value better than the current beam</w:t>
      </w:r>
      <w:r>
        <w:rPr>
          <w:rFonts w:hint="eastAsia"/>
          <w:sz w:val="21"/>
          <w:szCs w:val="21"/>
          <w:lang w:eastAsia="zh-CN"/>
        </w:rPr>
        <w:t>) has been agreed for</w:t>
      </w:r>
      <w:r>
        <w:rPr>
          <w:sz w:val="21"/>
          <w:szCs w:val="21"/>
          <w:lang w:eastAsia="zh-CN"/>
        </w:rPr>
        <w:t xml:space="preserve"> UE-initiated/event-driven beam reporting</w:t>
      </w:r>
      <w:r>
        <w:rPr>
          <w:rFonts w:hint="eastAsia"/>
          <w:sz w:val="21"/>
          <w:szCs w:val="21"/>
          <w:lang w:eastAsia="zh-CN"/>
        </w:rPr>
        <w:t xml:space="preserve">. </w:t>
      </w:r>
      <w:r>
        <w:rPr>
          <w:rFonts w:hint="eastAsia" w:eastAsiaTheme="minorEastAsia"/>
          <w:bCs/>
          <w:iCs/>
          <w:sz w:val="21"/>
          <w:szCs w:val="21"/>
          <w:lang w:eastAsia="zh-CN"/>
        </w:rPr>
        <w:t xml:space="preserve">In RAN1#118 meeting, the trigger events other than Event-2 have been discussed, Event-1 and Event-7 were left for further discussion. </w:t>
      </w:r>
    </w:p>
    <w:p>
      <w:pPr>
        <w:pStyle w:val="37"/>
        <w:numPr>
          <w:ilvl w:val="0"/>
          <w:numId w:val="10"/>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The current beam of Event-1 can be </w:t>
      </w:r>
      <w:r>
        <w:rPr>
          <w:rFonts w:ascii="Times New Roman" w:hAnsi="Times New Roman"/>
          <w:szCs w:val="21"/>
        </w:rPr>
        <w:t>the</w:t>
      </w:r>
      <w:r>
        <w:rPr>
          <w:rFonts w:hint="eastAsia" w:ascii="Times New Roman" w:hAnsi="Times New Roman"/>
          <w:szCs w:val="21"/>
        </w:rPr>
        <w:t xml:space="preserve"> RS derived from the indicated TCI state. Firstly, one of t</w:t>
      </w:r>
      <w:r>
        <w:rPr>
          <w:rFonts w:ascii="Times New Roman" w:hAnsi="Times New Roman"/>
          <w:szCs w:val="21"/>
        </w:rPr>
        <w:t>he benefits of event-1 is that it does not require configuring</w:t>
      </w:r>
      <w:r>
        <w:rPr>
          <w:rFonts w:hint="eastAsia" w:ascii="Times New Roman" w:hAnsi="Times New Roman"/>
          <w:szCs w:val="21"/>
        </w:rPr>
        <w:t xml:space="preserve"> and measuring</w:t>
      </w:r>
      <w:r>
        <w:rPr>
          <w:rFonts w:ascii="Times New Roman" w:hAnsi="Times New Roman"/>
          <w:szCs w:val="21"/>
        </w:rPr>
        <w:t xml:space="preserve"> new beam</w:t>
      </w:r>
      <w:r>
        <w:rPr>
          <w:rFonts w:hint="eastAsia" w:ascii="Times New Roman" w:hAnsi="Times New Roman"/>
          <w:szCs w:val="21"/>
        </w:rPr>
        <w:t xml:space="preserve"> RSs and could reduce the resource overhead and UE measurement overhead. Secondly, when the </w:t>
      </w:r>
      <w:r>
        <w:rPr>
          <w:rFonts w:ascii="Times New Roman" w:hAnsi="Times New Roman"/>
          <w:szCs w:val="21"/>
        </w:rPr>
        <w:t>current beam is worse than a certain threshold</w:t>
      </w:r>
      <w:r>
        <w:rPr>
          <w:rFonts w:hint="eastAsia" w:ascii="Times New Roman" w:hAnsi="Times New Roman"/>
          <w:szCs w:val="21"/>
        </w:rPr>
        <w:t xml:space="preserve">, UE could report the condition to gNB with 1 bit first PUCCH to </w:t>
      </w:r>
      <w:r>
        <w:rPr>
          <w:rFonts w:ascii="Times New Roman" w:hAnsi="Times New Roman"/>
          <w:szCs w:val="21"/>
        </w:rPr>
        <w:t>request</w:t>
      </w:r>
      <w:r>
        <w:rPr>
          <w:rFonts w:hint="eastAsia" w:ascii="Times New Roman" w:hAnsi="Times New Roman"/>
          <w:szCs w:val="21"/>
        </w:rPr>
        <w:t xml:space="preserve"> an aperiodic CSI reporting, </w:t>
      </w:r>
      <w:r>
        <w:rPr>
          <w:rFonts w:ascii="Times New Roman" w:hAnsi="Times New Roman"/>
          <w:szCs w:val="21"/>
        </w:rPr>
        <w:t>then</w:t>
      </w:r>
      <w:r>
        <w:rPr>
          <w:rFonts w:hint="eastAsia" w:ascii="Times New Roman" w:hAnsi="Times New Roman"/>
          <w:szCs w:val="21"/>
        </w:rPr>
        <w:t xml:space="preserve"> gNB </w:t>
      </w:r>
      <w:r>
        <w:rPr>
          <w:rFonts w:ascii="Times New Roman" w:hAnsi="Times New Roman"/>
          <w:szCs w:val="21"/>
        </w:rPr>
        <w:t>could</w:t>
      </w:r>
      <w:r>
        <w:rPr>
          <w:rFonts w:hint="eastAsia" w:ascii="Times New Roman" w:hAnsi="Times New Roman"/>
          <w:szCs w:val="21"/>
        </w:rPr>
        <w:t xml:space="preserve"> trigger an aperiodic CSI reporting via DCI, which is similar to the procedure of Mode-A.</w:t>
      </w:r>
    </w:p>
    <w:p>
      <w:pPr>
        <w:pStyle w:val="37"/>
        <w:numPr>
          <w:ilvl w:val="0"/>
          <w:numId w:val="10"/>
        </w:numPr>
        <w:snapToGrid w:val="0"/>
        <w:spacing w:before="120" w:beforeLines="50" w:line="288" w:lineRule="auto"/>
        <w:ind w:firstLineChars="0"/>
        <w:rPr>
          <w:rFonts w:ascii="Times New Roman" w:hAnsi="Times New Roman" w:eastAsiaTheme="minorEastAsia"/>
          <w:bCs/>
          <w:iCs/>
          <w:szCs w:val="21"/>
        </w:rPr>
      </w:pPr>
      <w:r>
        <w:rPr>
          <w:rFonts w:ascii="Times New Roman" w:hAnsi="Times New Roman" w:eastAsiaTheme="minorEastAsia"/>
          <w:bCs/>
          <w:iCs/>
          <w:szCs w:val="21"/>
        </w:rPr>
        <w:t xml:space="preserve">The current beam of Event-7 is the </w:t>
      </w:r>
      <w:r>
        <w:rPr>
          <w:rFonts w:ascii="Times New Roman" w:hAnsi="Times New Roman"/>
          <w:szCs w:val="21"/>
        </w:rPr>
        <w:t>RS</w:t>
      </w:r>
      <w:r>
        <w:rPr>
          <w:rFonts w:ascii="Times New Roman" w:hAnsi="Times New Roman" w:eastAsia="PMingLiU"/>
          <w:szCs w:val="21"/>
          <w:lang w:eastAsia="zh-TW"/>
        </w:rPr>
        <w:t xml:space="preserve"> de</w:t>
      </w:r>
      <w:r>
        <w:rPr>
          <w:rFonts w:ascii="Times New Roman" w:hAnsi="Times New Roman"/>
          <w:szCs w:val="21"/>
        </w:rPr>
        <w:t>rived from the activated TCI state, and the condition of Event-7 is the quality of at least one new beam becomes a threshold value better than the RS derived from the activated TCI state with the M-th best quality.</w:t>
      </w:r>
      <w:r>
        <w:rPr>
          <w:rFonts w:hint="eastAsia" w:ascii="Times New Roman" w:hAnsi="Times New Roman"/>
          <w:szCs w:val="21"/>
        </w:rPr>
        <w:t xml:space="preserve"> </w:t>
      </w:r>
    </w:p>
    <w:p>
      <w:pPr>
        <w:pStyle w:val="37"/>
        <w:numPr>
          <w:ilvl w:val="1"/>
          <w:numId w:val="10"/>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Firstly, when M=1, the condition is at least one new beam </w:t>
      </w:r>
      <w:r>
        <w:rPr>
          <w:rFonts w:ascii="Times New Roman" w:hAnsi="Times New Roman"/>
          <w:szCs w:val="21"/>
        </w:rPr>
        <w:t>becomes</w:t>
      </w:r>
      <w:r>
        <w:rPr>
          <w:rFonts w:hint="eastAsia" w:ascii="Times New Roman" w:hAnsi="Times New Roman"/>
          <w:szCs w:val="21"/>
        </w:rPr>
        <w:t xml:space="preserve"> a </w:t>
      </w:r>
      <w:r>
        <w:rPr>
          <w:rFonts w:ascii="Times New Roman" w:hAnsi="Times New Roman"/>
          <w:szCs w:val="21"/>
        </w:rPr>
        <w:t>threshold</w:t>
      </w:r>
      <w:r>
        <w:rPr>
          <w:rFonts w:hint="eastAsia" w:ascii="Times New Roman" w:hAnsi="Times New Roman"/>
          <w:szCs w:val="21"/>
        </w:rPr>
        <w:t xml:space="preserve"> value better than all the RSs derived from the activated TCI state. In this case, since the current beam for Event-2 is one the of RSs derived from the </w:t>
      </w:r>
      <w:r>
        <w:rPr>
          <w:rFonts w:ascii="Times New Roman" w:hAnsi="Times New Roman"/>
          <w:szCs w:val="21"/>
        </w:rPr>
        <w:t>activ</w:t>
      </w:r>
      <w:r>
        <w:rPr>
          <w:rFonts w:hint="eastAsia" w:ascii="Times New Roman" w:hAnsi="Times New Roman"/>
          <w:szCs w:val="21"/>
        </w:rPr>
        <w:t xml:space="preserve">ated TCI state, when the condition of Event-7 is satisfied, Event-2 </w:t>
      </w:r>
      <w:r>
        <w:rPr>
          <w:rFonts w:ascii="Times New Roman" w:hAnsi="Times New Roman"/>
          <w:szCs w:val="21"/>
        </w:rPr>
        <w:t xml:space="preserve">has also </w:t>
      </w:r>
      <w:r>
        <w:rPr>
          <w:rFonts w:hint="eastAsia" w:ascii="Times New Roman" w:hAnsi="Times New Roman"/>
          <w:szCs w:val="21"/>
        </w:rPr>
        <w:t xml:space="preserve">satisfied. So, event-2 is enough and more adequately to reflect the </w:t>
      </w:r>
      <w:r>
        <w:rPr>
          <w:rFonts w:ascii="Times New Roman" w:hAnsi="Times New Roman"/>
          <w:szCs w:val="21"/>
        </w:rPr>
        <w:t>quality</w:t>
      </w:r>
      <w:r>
        <w:rPr>
          <w:rFonts w:hint="eastAsia" w:ascii="Times New Roman" w:hAnsi="Times New Roman"/>
          <w:szCs w:val="21"/>
        </w:rPr>
        <w:t xml:space="preserve"> of current beam for UE. </w:t>
      </w:r>
    </w:p>
    <w:p>
      <w:pPr>
        <w:pStyle w:val="37"/>
        <w:numPr>
          <w:ilvl w:val="1"/>
          <w:numId w:val="10"/>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Secondly, when M equals to the maximum number of TCI states </w:t>
      </w:r>
      <w:r>
        <w:rPr>
          <w:rFonts w:ascii="Times New Roman" w:hAnsi="Times New Roman"/>
          <w:szCs w:val="21"/>
        </w:rPr>
        <w:t>activated</w:t>
      </w:r>
      <w:r>
        <w:rPr>
          <w:rFonts w:hint="eastAsia" w:ascii="Times New Roman" w:hAnsi="Times New Roman"/>
          <w:szCs w:val="21"/>
        </w:rPr>
        <w:t xml:space="preserve"> in the MAC CE. O</w:t>
      </w:r>
      <w:r>
        <w:rPr>
          <w:rFonts w:ascii="Times New Roman" w:hAnsi="Times New Roman"/>
          <w:szCs w:val="21"/>
        </w:rPr>
        <w:t>nly the RS with the worst quality is reported, then although gNB updates the activated TCI state via MAC CE, there are still other RSs derived from the activated TCI state satisfy the condition, then UE must report multiple times until all the RSs derived from the activated TCI state do not satisfy the condition.</w:t>
      </w:r>
      <w:r>
        <w:rPr>
          <w:rFonts w:hint="eastAsia" w:ascii="Times New Roman" w:hAnsi="Times New Roman"/>
          <w:szCs w:val="21"/>
        </w:rPr>
        <w:t xml:space="preserve"> This will increase the beam reporting overhead. Furthermore</w:t>
      </w:r>
      <w:r>
        <w:rPr>
          <w:rFonts w:ascii="Times New Roman" w:hAnsi="Times New Roman"/>
          <w:szCs w:val="21"/>
        </w:rPr>
        <w:t xml:space="preserve">, </w:t>
      </w:r>
      <w:r>
        <w:rPr>
          <w:rFonts w:hint="eastAsia" w:ascii="Times New Roman" w:hAnsi="Times New Roman"/>
          <w:szCs w:val="21"/>
        </w:rPr>
        <w:t xml:space="preserve">some of </w:t>
      </w:r>
      <w:r>
        <w:rPr>
          <w:rFonts w:ascii="Times New Roman" w:hAnsi="Times New Roman"/>
          <w:szCs w:val="21"/>
        </w:rPr>
        <w:t>the activated TCI state</w:t>
      </w:r>
      <w:r>
        <w:rPr>
          <w:rFonts w:hint="eastAsia" w:ascii="Times New Roman" w:hAnsi="Times New Roman"/>
          <w:szCs w:val="21"/>
        </w:rPr>
        <w:t xml:space="preserve"> may be not indicated to UE </w:t>
      </w:r>
      <w:r>
        <w:rPr>
          <w:rFonts w:ascii="Times New Roman" w:hAnsi="Times New Roman"/>
          <w:szCs w:val="21"/>
        </w:rPr>
        <w:t>within</w:t>
      </w:r>
      <w:r>
        <w:rPr>
          <w:rFonts w:hint="eastAsia" w:ascii="Times New Roman" w:hAnsi="Times New Roman"/>
          <w:szCs w:val="21"/>
        </w:rPr>
        <w:t xml:space="preserve"> a certain time, it is not urgent to update the activated TCI state list with UE initiated beam reporting. L</w:t>
      </w:r>
      <w:r>
        <w:rPr>
          <w:rFonts w:ascii="Times New Roman" w:hAnsi="Times New Roman"/>
          <w:szCs w:val="21"/>
        </w:rPr>
        <w:t>egacy periodic beam measurement and reporting is enough for network to update the list of activated TCI state</w:t>
      </w:r>
      <w:r>
        <w:rPr>
          <w:rFonts w:hint="eastAsia" w:ascii="Times New Roman" w:hAnsi="Times New Roman"/>
          <w:szCs w:val="21"/>
        </w:rPr>
        <w:t xml:space="preserve">s, or the </w:t>
      </w:r>
      <w:r>
        <w:rPr>
          <w:rFonts w:ascii="Times New Roman" w:hAnsi="Times New Roman"/>
          <w:szCs w:val="21"/>
        </w:rPr>
        <w:t>Event-2 could realize the function that when multiple new beams are reported, network could update the activated TCI state list.</w:t>
      </w:r>
    </w:p>
    <w:p>
      <w:pPr>
        <w:pStyle w:val="37"/>
        <w:numPr>
          <w:ilvl w:val="1"/>
          <w:numId w:val="10"/>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Thirdly, when M is between 1 and the maximum number of TCI states </w:t>
      </w:r>
      <w:r>
        <w:rPr>
          <w:rFonts w:ascii="Times New Roman" w:hAnsi="Times New Roman"/>
          <w:szCs w:val="21"/>
        </w:rPr>
        <w:t>activated</w:t>
      </w:r>
      <w:r>
        <w:rPr>
          <w:rFonts w:hint="eastAsia" w:ascii="Times New Roman" w:hAnsi="Times New Roman"/>
          <w:szCs w:val="21"/>
        </w:rPr>
        <w:t xml:space="preserve"> in the MAC CE. T</w:t>
      </w:r>
      <w:r>
        <w:rPr>
          <w:rFonts w:ascii="Times New Roman" w:hAnsi="Times New Roman"/>
          <w:szCs w:val="21"/>
        </w:rPr>
        <w:t xml:space="preserve">here </w:t>
      </w:r>
      <w:r>
        <w:rPr>
          <w:rFonts w:hint="eastAsia" w:ascii="Times New Roman" w:hAnsi="Times New Roman"/>
          <w:szCs w:val="21"/>
        </w:rPr>
        <w:t xml:space="preserve">are (maximum number of TCI states </w:t>
      </w:r>
      <w:r>
        <w:rPr>
          <w:rFonts w:ascii="Times New Roman" w:hAnsi="Times New Roman"/>
          <w:szCs w:val="21"/>
        </w:rPr>
        <w:t>activated</w:t>
      </w:r>
      <w:r>
        <w:rPr>
          <w:rFonts w:hint="eastAsia" w:ascii="Times New Roman" w:hAnsi="Times New Roman"/>
          <w:szCs w:val="21"/>
        </w:rPr>
        <w:t xml:space="preserve"> in the MAC CE - M)</w:t>
      </w:r>
      <w:r>
        <w:rPr>
          <w:rFonts w:ascii="Times New Roman" w:hAnsi="Times New Roman"/>
          <w:szCs w:val="21"/>
        </w:rPr>
        <w:t xml:space="preserve"> RSs from the activated TCI state </w:t>
      </w:r>
      <w:r>
        <w:rPr>
          <w:rFonts w:hint="eastAsia" w:ascii="Times New Roman" w:hAnsi="Times New Roman"/>
          <w:szCs w:val="21"/>
        </w:rPr>
        <w:t>that with the beam quality worse than the new beam</w:t>
      </w:r>
      <w:r>
        <w:rPr>
          <w:rFonts w:ascii="Times New Roman" w:hAnsi="Times New Roman"/>
          <w:szCs w:val="21"/>
        </w:rPr>
        <w:t xml:space="preserve">. </w:t>
      </w:r>
      <w:r>
        <w:rPr>
          <w:rFonts w:hint="eastAsia" w:ascii="Times New Roman" w:hAnsi="Times New Roman"/>
          <w:szCs w:val="21"/>
        </w:rPr>
        <w:t xml:space="preserve">If only the beam with M-th best quality is reported, then gNB does not know other beams that with the beam quality worse than the new beam, gNB could not update the TCI states based on the UEI reporting. If all the (maximum number of TCI states </w:t>
      </w:r>
      <w:r>
        <w:rPr>
          <w:rFonts w:ascii="Times New Roman" w:hAnsi="Times New Roman"/>
          <w:szCs w:val="21"/>
        </w:rPr>
        <w:t>activated</w:t>
      </w:r>
      <w:r>
        <w:rPr>
          <w:rFonts w:hint="eastAsia" w:ascii="Times New Roman" w:hAnsi="Times New Roman"/>
          <w:szCs w:val="21"/>
        </w:rPr>
        <w:t xml:space="preserve"> in the MAC CE - M)</w:t>
      </w:r>
      <w:r>
        <w:rPr>
          <w:rFonts w:ascii="Times New Roman" w:hAnsi="Times New Roman"/>
          <w:szCs w:val="21"/>
        </w:rPr>
        <w:t xml:space="preserve"> RSs derived from the activated TCI state </w:t>
      </w:r>
      <w:r>
        <w:rPr>
          <w:rFonts w:hint="eastAsia" w:ascii="Times New Roman" w:hAnsi="Times New Roman"/>
          <w:szCs w:val="21"/>
        </w:rPr>
        <w:t>that with the beam quality worse than the new beam are reported, then the payload of beam reporting is large</w:t>
      </w:r>
      <w:r>
        <w:rPr>
          <w:rFonts w:ascii="Times New Roman" w:hAnsi="Times New Roman"/>
          <w:szCs w:val="21"/>
        </w:rPr>
        <w:t>.</w:t>
      </w:r>
    </w:p>
    <w:p>
      <w:pPr>
        <w:snapToGrid w:val="0"/>
        <w:spacing w:before="120" w:beforeLines="50" w:line="288" w:lineRule="auto"/>
        <w:jc w:val="both"/>
        <w:rPr>
          <w:rFonts w:eastAsiaTheme="minorEastAsia"/>
          <w:bCs/>
          <w:iCs/>
          <w:sz w:val="21"/>
          <w:szCs w:val="21"/>
          <w:lang w:eastAsia="zh-CN"/>
        </w:rPr>
      </w:pPr>
      <w:r>
        <w:rPr>
          <w:rFonts w:hint="eastAsia" w:eastAsiaTheme="minorEastAsia"/>
          <w:bCs/>
          <w:iCs/>
          <w:sz w:val="21"/>
          <w:szCs w:val="21"/>
          <w:lang w:eastAsia="zh-CN"/>
        </w:rPr>
        <w:t xml:space="preserve">Based on the above analysis, </w:t>
      </w:r>
      <w:r>
        <w:rPr>
          <w:rFonts w:hint="eastAsia"/>
          <w:sz w:val="21"/>
          <w:szCs w:val="21"/>
        </w:rPr>
        <w:t>Event-1</w:t>
      </w:r>
      <w:r>
        <w:rPr>
          <w:rFonts w:hint="eastAsia"/>
          <w:sz w:val="21"/>
          <w:szCs w:val="21"/>
          <w:lang w:eastAsia="zh-CN"/>
        </w:rPr>
        <w:t xml:space="preserve"> could be supported to reduce the </w:t>
      </w:r>
      <w:r>
        <w:rPr>
          <w:rFonts w:hint="eastAsia"/>
          <w:sz w:val="21"/>
          <w:szCs w:val="21"/>
        </w:rPr>
        <w:t xml:space="preserve">resource overhead and UE measurement </w:t>
      </w:r>
      <w:r>
        <w:rPr>
          <w:rFonts w:hint="eastAsia"/>
          <w:sz w:val="21"/>
          <w:szCs w:val="21"/>
          <w:lang w:eastAsia="zh-CN"/>
        </w:rPr>
        <w:t xml:space="preserve">overhead of new beam RSs, and Mode-A could be used </w:t>
      </w:r>
      <w:r>
        <w:rPr>
          <w:rFonts w:hint="eastAsia"/>
          <w:sz w:val="21"/>
          <w:szCs w:val="21"/>
        </w:rPr>
        <w:t xml:space="preserve">with 1 bit first PUCCH to </w:t>
      </w:r>
      <w:r>
        <w:rPr>
          <w:sz w:val="21"/>
          <w:szCs w:val="21"/>
        </w:rPr>
        <w:t>request</w:t>
      </w:r>
      <w:r>
        <w:rPr>
          <w:rFonts w:hint="eastAsia"/>
          <w:sz w:val="21"/>
          <w:szCs w:val="21"/>
        </w:rPr>
        <w:t xml:space="preserve"> an aperiodic CSI reporting</w:t>
      </w:r>
      <w:r>
        <w:rPr>
          <w:rFonts w:hint="eastAsia"/>
          <w:sz w:val="21"/>
          <w:szCs w:val="21"/>
          <w:lang w:eastAsia="zh-CN"/>
        </w:rPr>
        <w:t xml:space="preserve"> when the condition of Event-1 is satisfied.</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3</w:t>
      </w:r>
      <w:r>
        <w:rPr>
          <w:rFonts w:eastAsiaTheme="minorEastAsia"/>
          <w:b/>
          <w:i/>
          <w:sz w:val="21"/>
          <w:szCs w:val="21"/>
        </w:rPr>
        <w:t xml:space="preserve">: </w:t>
      </w:r>
      <w:r>
        <w:rPr>
          <w:rFonts w:hint="eastAsia" w:eastAsiaTheme="minorEastAsia"/>
          <w:b/>
          <w:i/>
          <w:sz w:val="21"/>
          <w:szCs w:val="21"/>
          <w:lang w:eastAsia="zh-CN"/>
        </w:rPr>
        <w:t>R</w:t>
      </w:r>
      <w:r>
        <w:rPr>
          <w:rFonts w:eastAsiaTheme="minorEastAsia"/>
          <w:b/>
          <w:i/>
          <w:sz w:val="21"/>
          <w:szCs w:val="21"/>
        </w:rPr>
        <w:t>egarding trigger events,</w:t>
      </w:r>
      <w:r>
        <w:rPr>
          <w:rFonts w:hint="eastAsia" w:eastAsiaTheme="minorEastAsia"/>
          <w:b/>
          <w:i/>
          <w:sz w:val="21"/>
          <w:szCs w:val="21"/>
          <w:lang w:eastAsia="zh-CN"/>
        </w:rPr>
        <w:t xml:space="preserve"> </w:t>
      </w:r>
      <w:r>
        <w:rPr>
          <w:rFonts w:eastAsiaTheme="minorEastAsia"/>
          <w:b/>
          <w:i/>
          <w:sz w:val="21"/>
          <w:szCs w:val="21"/>
          <w:lang w:eastAsia="zh-CN"/>
        </w:rPr>
        <w:t>Event-1: Quality of the current beam is worse than a certain threshold</w:t>
      </w:r>
      <w:r>
        <w:rPr>
          <w:rFonts w:hint="eastAsia" w:eastAsiaTheme="minorEastAsia"/>
          <w:b/>
          <w:i/>
          <w:sz w:val="21"/>
          <w:szCs w:val="21"/>
          <w:lang w:eastAsia="zh-CN"/>
        </w:rPr>
        <w:t xml:space="preserve"> could be supported, </w:t>
      </w:r>
      <w:r>
        <w:rPr>
          <w:rFonts w:eastAsiaTheme="minorEastAsia"/>
          <w:b/>
          <w:i/>
          <w:sz w:val="21"/>
          <w:szCs w:val="21"/>
          <w:lang w:eastAsia="zh-CN"/>
        </w:rPr>
        <w:t>and Mode-A could be used with 1 bit first PUCCH to request an aperiodic CSI reporting when the condition of Event-1 is satisfied.</w:t>
      </w:r>
    </w:p>
    <w:p>
      <w:pPr>
        <w:snapToGrid w:val="0"/>
        <w:spacing w:before="120" w:beforeLines="50" w:line="288" w:lineRule="auto"/>
        <w:jc w:val="both"/>
        <w:rPr>
          <w:sz w:val="21"/>
          <w:szCs w:val="21"/>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eastAsia="zh-CN"/>
        </w:rPr>
        <w:t>3</w:t>
      </w:r>
      <w:r>
        <w:rPr>
          <w:rFonts w:ascii="Arial" w:hAnsi="Arial" w:cs="Arial"/>
          <w:b/>
          <w:sz w:val="24"/>
          <w:szCs w:val="24"/>
        </w:rPr>
        <w:t>. UL signaling content(s)</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3.1 L1-RSRP based beam reporting</w:t>
      </w:r>
    </w:p>
    <w:p>
      <w:pPr>
        <w:snapToGrid w:val="0"/>
        <w:spacing w:before="120" w:beforeLines="50" w:line="288" w:lineRule="auto"/>
        <w:jc w:val="both"/>
        <w:rPr>
          <w:sz w:val="21"/>
          <w:szCs w:val="21"/>
          <w:lang w:eastAsia="zh-CN"/>
        </w:rPr>
      </w:pPr>
      <w:r>
        <w:rPr>
          <w:rFonts w:hint="eastAsia"/>
          <w:sz w:val="21"/>
          <w:szCs w:val="21"/>
          <w:lang w:eastAsia="zh-CN"/>
        </w:rPr>
        <w:t xml:space="preserve">In RAN1#118 meeting [2], the agreement related to </w:t>
      </w:r>
      <w:r>
        <w:rPr>
          <w:sz w:val="21"/>
          <w:szCs w:val="21"/>
          <w:lang w:eastAsia="zh-CN"/>
        </w:rPr>
        <w:t>UL signaling content(s)</w:t>
      </w:r>
      <w:r>
        <w:rPr>
          <w:rFonts w:hint="eastAsia"/>
          <w:sz w:val="21"/>
          <w:szCs w:val="21"/>
          <w:lang w:eastAsia="zh-CN"/>
        </w:rPr>
        <w:t xml:space="preserve">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bCs/>
                <w:highlight w:val="green"/>
                <w:lang w:eastAsia="zh-CN"/>
              </w:rPr>
            </w:pPr>
            <w:r>
              <w:rPr>
                <w:rFonts w:eastAsia="Batang"/>
                <w:b/>
                <w:highlight w:val="green"/>
              </w:rPr>
              <w:t>[</w:t>
            </w:r>
            <w:r>
              <w:rPr>
                <w:b/>
                <w:bCs/>
                <w:highlight w:val="green"/>
                <w:lang w:eastAsia="zh-CN"/>
              </w:rPr>
              <w:t>118] Agreement</w:t>
            </w:r>
          </w:p>
          <w:p>
            <w:pPr>
              <w:shd w:val="clear" w:color="auto" w:fill="FFFFFF"/>
              <w:adjustRightInd w:val="0"/>
              <w:snapToGrid w:val="0"/>
              <w:rPr>
                <w:rFonts w:eastAsia="宋体"/>
                <w:color w:val="000000"/>
              </w:rPr>
            </w:pPr>
            <w:r>
              <w:rPr>
                <w:rFonts w:eastAsia="宋体"/>
                <w:color w:val="000000"/>
              </w:rPr>
              <w:t>On UE-initiated/event-driven beam reporting, regarding L1-RSRP report format Option-3 depending on Event-2, the following differential L1-RSRP report format is supported.</w:t>
            </w:r>
          </w:p>
          <w:tbl>
            <w:tblPr>
              <w:tblStyle w:val="19"/>
              <w:tblW w:w="4904" w:type="dxa"/>
              <w:tblInd w:w="1819" w:type="dxa"/>
              <w:tblLayout w:type="autofit"/>
              <w:tblCellMar>
                <w:top w:w="0" w:type="dxa"/>
                <w:left w:w="0" w:type="dxa"/>
                <w:bottom w:w="0" w:type="dxa"/>
                <w:right w:w="0" w:type="dxa"/>
              </w:tblCellMar>
            </w:tblPr>
            <w:tblGrid>
              <w:gridCol w:w="4904"/>
            </w:tblGrid>
            <w:tr>
              <w:tblPrEx>
                <w:tblCellMar>
                  <w:top w:w="0" w:type="dxa"/>
                  <w:left w:w="0" w:type="dxa"/>
                  <w:bottom w:w="0" w:type="dxa"/>
                  <w:right w:w="0" w:type="dxa"/>
                </w:tblCellMar>
              </w:tblPrEx>
              <w:trPr>
                <w:trHeight w:val="154"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CRI or SSBRI #1</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CRI or SSBRI #2</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CRI or SSBRI #N</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L1-RSRP #1</w:t>
                  </w:r>
                </w:p>
              </w:tc>
            </w:tr>
            <w:tr>
              <w:tblPrEx>
                <w:tblCellMar>
                  <w:top w:w="0" w:type="dxa"/>
                  <w:left w:w="0" w:type="dxa"/>
                  <w:bottom w:w="0" w:type="dxa"/>
                  <w:right w:w="0" w:type="dxa"/>
                </w:tblCellMar>
              </w:tblPrEx>
              <w:trPr>
                <w:trHeight w:val="279"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Differential L1-RSRP #2</w:t>
                  </w:r>
                </w:p>
              </w:tc>
            </w:tr>
            <w:tr>
              <w:tblPrEx>
                <w:tblCellMar>
                  <w:top w:w="0" w:type="dxa"/>
                  <w:left w:w="0" w:type="dxa"/>
                  <w:bottom w:w="0" w:type="dxa"/>
                  <w:right w:w="0" w:type="dxa"/>
                </w:tblCellMar>
              </w:tblPrEx>
              <w:trPr>
                <w:trHeight w:val="240"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w:t>
                  </w:r>
                </w:p>
              </w:tc>
            </w:tr>
            <w:tr>
              <w:tblPrEx>
                <w:tblCellMar>
                  <w:top w:w="0" w:type="dxa"/>
                  <w:left w:w="0" w:type="dxa"/>
                  <w:bottom w:w="0" w:type="dxa"/>
                  <w:right w:w="0" w:type="dxa"/>
                </w:tblCellMar>
              </w:tblPrEx>
              <w:trPr>
                <w:trHeight w:val="240"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Differential L1-RSRP #N</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 xml:space="preserve">Differential L1-RSRP for current beam, if </w:t>
                  </w:r>
                  <w:r>
                    <w:rPr>
                      <w:rFonts w:eastAsia="宋体"/>
                    </w:rPr>
                    <w:t>report mode that current beam is always reported is enabled by RRC</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lang w:eastAsia="zh-CN"/>
                    </w:rPr>
                    <w:t>Note: Other contents are not precluded</w:t>
                  </w:r>
                </w:p>
              </w:tc>
            </w:tr>
          </w:tbl>
          <w:p>
            <w:pPr>
              <w:shd w:val="clear" w:color="auto" w:fill="FFFFFF"/>
              <w:adjustRightInd w:val="0"/>
              <w:snapToGrid w:val="0"/>
              <w:ind w:left="-1080"/>
              <w:rPr>
                <w:rFonts w:eastAsia="宋体"/>
                <w:color w:val="000000"/>
              </w:rPr>
            </w:pPr>
            <w:r>
              <w:rPr>
                <w:rFonts w:eastAsia="宋体"/>
                <w:color w:val="000000"/>
              </w:rPr>
              <w:t>.</w:t>
            </w:r>
          </w:p>
          <w:p>
            <w:pPr>
              <w:numPr>
                <w:ilvl w:val="2"/>
                <w:numId w:val="11"/>
              </w:numPr>
              <w:shd w:val="clear" w:color="auto" w:fill="FFFFFF"/>
              <w:tabs>
                <w:tab w:val="left" w:pos="1080"/>
              </w:tabs>
              <w:adjustRightInd w:val="0"/>
              <w:snapToGrid w:val="0"/>
              <w:rPr>
                <w:rFonts w:eastAsia="宋体"/>
              </w:rPr>
            </w:pPr>
            <w:r>
              <w:rPr>
                <w:rFonts w:eastAsia="宋体"/>
                <w:color w:val="000000"/>
              </w:rPr>
              <w:t>Differential L1-RSRP #2~#N/current beam is determined based on the difference between measured L1-RSRP corresponding to the CRI/SSBRI #2~#N/current beam and the measured L1-RSRP corresponding to CRI/SSBRI #1</w:t>
            </w:r>
          </w:p>
          <w:p>
            <w:pPr>
              <w:numPr>
                <w:ilvl w:val="3"/>
                <w:numId w:val="11"/>
              </w:numPr>
              <w:shd w:val="clear" w:color="auto" w:fill="FFFFFF"/>
              <w:tabs>
                <w:tab w:val="left" w:pos="1800"/>
              </w:tabs>
              <w:adjustRightInd w:val="0"/>
              <w:snapToGrid w:val="0"/>
              <w:rPr>
                <w:rFonts w:eastAsia="宋体"/>
              </w:rPr>
            </w:pPr>
            <w:r>
              <w:rPr>
                <w:rFonts w:eastAsia="宋体"/>
              </w:rPr>
              <w:t xml:space="preserve">L1-RSRP#1 is the largest measured RSRP among reported ones, and an </w:t>
            </w:r>
            <w:r>
              <w:rPr>
                <w:rFonts w:eastAsia="宋体"/>
                <w:lang w:eastAsia="zh-CN"/>
              </w:rPr>
              <w:t>absolute L1-RSRP.</w:t>
            </w:r>
          </w:p>
          <w:p>
            <w:pPr>
              <w:numPr>
                <w:ilvl w:val="3"/>
                <w:numId w:val="11"/>
              </w:numPr>
              <w:shd w:val="clear" w:color="auto" w:fill="FFFFFF"/>
              <w:tabs>
                <w:tab w:val="left" w:pos="1800"/>
              </w:tabs>
              <w:adjustRightInd w:val="0"/>
              <w:snapToGrid w:val="0"/>
              <w:rPr>
                <w:rFonts w:eastAsia="宋体"/>
              </w:rPr>
            </w:pPr>
            <w:r>
              <w:rPr>
                <w:rFonts w:eastAsia="宋体"/>
              </w:rPr>
              <w:t>FFS: range and step size of differential L1-RSRP</w:t>
            </w:r>
          </w:p>
          <w:p>
            <w:pPr>
              <w:numPr>
                <w:ilvl w:val="2"/>
                <w:numId w:val="11"/>
              </w:numPr>
              <w:shd w:val="clear" w:color="auto" w:fill="FFFFFF"/>
              <w:tabs>
                <w:tab w:val="left" w:pos="1080"/>
              </w:tabs>
              <w:adjustRightInd w:val="0"/>
              <w:snapToGrid w:val="0"/>
              <w:rPr>
                <w:rFonts w:eastAsia="宋体"/>
              </w:rPr>
            </w:pPr>
            <w:r>
              <w:rPr>
                <w:rFonts w:eastAsia="宋体"/>
              </w:rPr>
              <w:t xml:space="preserve">FFS: Whether/how to </w:t>
            </w:r>
            <w:bookmarkStart w:id="2" w:name="_Hlk181857208"/>
            <w:r>
              <w:rPr>
                <w:rFonts w:eastAsia="宋体"/>
              </w:rPr>
              <w:t>report additional indication of which CRI/SSBRI(s) satisfy the condition of Event-2.</w:t>
            </w:r>
            <w:bookmarkEnd w:id="2"/>
            <w:r>
              <w:rPr>
                <w:rFonts w:eastAsia="宋体"/>
              </w:rPr>
              <w:t xml:space="preserve"> </w:t>
            </w:r>
          </w:p>
          <w:p>
            <w:pPr>
              <w:numPr>
                <w:ilvl w:val="2"/>
                <w:numId w:val="11"/>
              </w:numPr>
              <w:shd w:val="clear" w:color="auto" w:fill="FFFFFF"/>
              <w:tabs>
                <w:tab w:val="left" w:pos="1080"/>
              </w:tabs>
              <w:adjustRightInd w:val="0"/>
              <w:snapToGrid w:val="0"/>
            </w:pPr>
            <w:r>
              <w:rPr>
                <w:rFonts w:eastAsia="宋体"/>
                <w:lang w:eastAsia="zh-CN"/>
              </w:rPr>
              <w:t>FFS</w:t>
            </w:r>
            <w:r>
              <w:rPr>
                <w:rFonts w:eastAsia="宋体"/>
              </w:rPr>
              <w:t>: Additional report content(s) (e.g., reporting configuration ID, indication for synchronization state, event ID, or cell ID).</w:t>
            </w:r>
            <w:r>
              <w:rPr>
                <w:lang w:eastAsia="zh-CN"/>
              </w:rPr>
              <w:t xml:space="preserve"> </w:t>
            </w:r>
          </w:p>
        </w:tc>
      </w:tr>
    </w:tbl>
    <w:p>
      <w:pPr>
        <w:snapToGrid w:val="0"/>
        <w:spacing w:before="120" w:beforeLines="50" w:line="288" w:lineRule="auto"/>
        <w:jc w:val="both"/>
        <w:rPr>
          <w:sz w:val="21"/>
          <w:szCs w:val="21"/>
          <w:lang w:eastAsia="zh-CN"/>
        </w:rPr>
      </w:pPr>
      <w:r>
        <w:rPr>
          <w:sz w:val="21"/>
          <w:szCs w:val="21"/>
          <w:lang w:eastAsia="zh-CN"/>
        </w:rPr>
        <w:t>Whether/how to report additional indication of which CRI/SSBRI(s) satisfy the condition of Event-2</w:t>
      </w:r>
      <w:r>
        <w:rPr>
          <w:rFonts w:hint="eastAsia"/>
          <w:sz w:val="21"/>
          <w:szCs w:val="21"/>
          <w:lang w:eastAsia="zh-CN"/>
        </w:rPr>
        <w:t xml:space="preserve"> is left for further study</w:t>
      </w:r>
      <w:r>
        <w:rPr>
          <w:sz w:val="21"/>
          <w:szCs w:val="21"/>
          <w:lang w:eastAsia="zh-CN"/>
        </w:rPr>
        <w:t xml:space="preserve">. </w:t>
      </w:r>
      <w:r>
        <w:rPr>
          <w:rFonts w:hint="eastAsia"/>
          <w:sz w:val="21"/>
          <w:szCs w:val="21"/>
          <w:lang w:eastAsia="zh-CN"/>
        </w:rPr>
        <w:t>When a</w:t>
      </w:r>
      <w:r>
        <w:rPr>
          <w:sz w:val="21"/>
          <w:szCs w:val="21"/>
          <w:lang w:eastAsia="zh-CN"/>
        </w:rPr>
        <w:t>t least one of N reported beam(s) satisfy the condition of Event-2</w:t>
      </w:r>
      <w:r>
        <w:rPr>
          <w:rFonts w:hint="eastAsia"/>
          <w:sz w:val="21"/>
          <w:szCs w:val="21"/>
          <w:lang w:eastAsia="zh-CN"/>
        </w:rPr>
        <w:t xml:space="preserve">, the </w:t>
      </w:r>
      <w:r>
        <w:rPr>
          <w:sz w:val="21"/>
          <w:szCs w:val="21"/>
        </w:rPr>
        <w:t>UE-initiated/event-driven beam reporting</w:t>
      </w:r>
      <w:r>
        <w:rPr>
          <w:rFonts w:hint="eastAsia"/>
          <w:sz w:val="21"/>
          <w:szCs w:val="21"/>
          <w:lang w:eastAsia="zh-CN"/>
        </w:rPr>
        <w:t xml:space="preserve"> can be triggered. So, t</w:t>
      </w:r>
      <w:r>
        <w:rPr>
          <w:sz w:val="21"/>
          <w:szCs w:val="21"/>
          <w:lang w:eastAsia="zh-CN"/>
        </w:rPr>
        <w:t xml:space="preserve">here is a case that the reported CRI-1 with highest RSRP is one-shot measurement before </w:t>
      </w:r>
      <w:r>
        <w:rPr>
          <w:sz w:val="21"/>
          <w:szCs w:val="21"/>
        </w:rPr>
        <w:t>UE-initiated/event-driven beam</w:t>
      </w:r>
      <w:r>
        <w:rPr>
          <w:sz w:val="21"/>
          <w:szCs w:val="21"/>
          <w:lang w:eastAsia="zh-CN"/>
        </w:rPr>
        <w:t xml:space="preserve"> reporting, which has not satisfied the condition of Event-2, and the reported CRI-2 with the second highest RSRP satisfied the condition of Event-2. Then, additional indication of which CRI/SSBRI(s) satisfy the condition of Event-2 should be reported to provide more information to network. Or else, the network may assume the CRI-1 with highest RSRP satisfies the condition of Event-2, and update the TCI state to CRI-1, which may lead to ping-pang TCI state switching.</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4</w:t>
      </w:r>
      <w:r>
        <w:rPr>
          <w:rFonts w:eastAsiaTheme="minorEastAsia"/>
          <w:b/>
          <w:i/>
          <w:sz w:val="21"/>
          <w:szCs w:val="21"/>
        </w:rPr>
        <w:t xml:space="preserve">: </w:t>
      </w:r>
      <w:r>
        <w:rPr>
          <w:rFonts w:hint="eastAsia" w:eastAsiaTheme="minorEastAsia"/>
          <w:b/>
          <w:i/>
          <w:sz w:val="21"/>
          <w:szCs w:val="21"/>
          <w:lang w:eastAsia="zh-CN"/>
        </w:rPr>
        <w:t xml:space="preserve">Support to </w:t>
      </w:r>
      <w:r>
        <w:rPr>
          <w:rFonts w:eastAsiaTheme="minorEastAsia"/>
          <w:b/>
          <w:i/>
          <w:sz w:val="21"/>
          <w:szCs w:val="21"/>
          <w:lang w:eastAsia="zh-CN"/>
        </w:rPr>
        <w:t>report additional indication of which CRI/SSBRI(s) satisfy the condition of Event-2.</w:t>
      </w:r>
    </w:p>
    <w:p>
      <w:pPr>
        <w:snapToGrid w:val="0"/>
        <w:spacing w:before="120" w:beforeLines="50" w:line="288" w:lineRule="auto"/>
        <w:jc w:val="both"/>
        <w:rPr>
          <w:rFonts w:eastAsiaTheme="minorEastAsia"/>
          <w:b/>
          <w:i/>
          <w:sz w:val="21"/>
          <w:szCs w:val="21"/>
          <w:lang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3.2 L1-SINR based beam reporting</w:t>
      </w:r>
    </w:p>
    <w:p>
      <w:pPr>
        <w:snapToGrid w:val="0"/>
        <w:spacing w:before="120" w:beforeLines="50" w:line="288" w:lineRule="auto"/>
        <w:jc w:val="both"/>
        <w:rPr>
          <w:sz w:val="21"/>
          <w:szCs w:val="21"/>
        </w:rPr>
      </w:pPr>
      <w:r>
        <w:rPr>
          <w:rFonts w:hint="eastAsia"/>
          <w:sz w:val="21"/>
          <w:szCs w:val="21"/>
          <w:lang w:eastAsia="zh-CN"/>
        </w:rPr>
        <w:t xml:space="preserve">Legacy periodic beam measurement and reporting and UE initiated beam reporting may be used together to facilitate reliable and timely beam management. With UE initiated beam reporting, legacy beam measurement and reporting could be configured with less frequently to reduce the overhead. Currently, both L1-RSRP and L1-SINR are supported for beam measurement and reporting. If the </w:t>
      </w:r>
      <w:r>
        <w:rPr>
          <w:rFonts w:eastAsiaTheme="minorEastAsia"/>
          <w:bCs/>
          <w:iCs/>
          <w:sz w:val="21"/>
          <w:szCs w:val="21"/>
          <w:lang w:eastAsia="zh-CN"/>
        </w:rPr>
        <w:t>QCL RS of indicated TCI state</w:t>
      </w:r>
      <w:r>
        <w:rPr>
          <w:rFonts w:hint="eastAsia" w:eastAsiaTheme="minorEastAsia"/>
          <w:bCs/>
          <w:iCs/>
          <w:sz w:val="21"/>
          <w:szCs w:val="21"/>
          <w:lang w:eastAsia="zh-CN"/>
        </w:rPr>
        <w:t xml:space="preserve"> is derived based on the L1-SINR beam reporting, </w:t>
      </w:r>
      <w:r>
        <w:rPr>
          <w:sz w:val="21"/>
          <w:szCs w:val="21"/>
        </w:rPr>
        <w:t xml:space="preserve">while </w:t>
      </w:r>
      <w:r>
        <w:rPr>
          <w:rFonts w:hint="eastAsia"/>
          <w:sz w:val="21"/>
          <w:szCs w:val="21"/>
          <w:lang w:eastAsia="zh-CN"/>
        </w:rPr>
        <w:t xml:space="preserve">UE initiated beam reporting </w:t>
      </w:r>
      <w:r>
        <w:rPr>
          <w:sz w:val="21"/>
          <w:szCs w:val="21"/>
        </w:rPr>
        <w:t xml:space="preserve">is based on L1-RSRP, it is possible that the best beam for L1-RSRP is different from the best beam for L1-SINR, which will cause </w:t>
      </w:r>
      <w:r>
        <w:rPr>
          <w:rFonts w:hint="eastAsia"/>
          <w:sz w:val="21"/>
          <w:szCs w:val="21"/>
          <w:lang w:eastAsia="zh-CN"/>
        </w:rPr>
        <w:t xml:space="preserve">frequently beam reporting and </w:t>
      </w:r>
      <w:r>
        <w:rPr>
          <w:sz w:val="21"/>
          <w:szCs w:val="21"/>
        </w:rPr>
        <w:t>ping-pang beam switching.</w:t>
      </w:r>
      <w:r>
        <w:rPr>
          <w:rFonts w:eastAsiaTheme="minorEastAsia"/>
          <w:bCs/>
          <w:iCs/>
          <w:sz w:val="21"/>
          <w:szCs w:val="21"/>
          <w:lang w:eastAsia="zh-CN"/>
        </w:rPr>
        <w:t xml:space="preserve"> The </w:t>
      </w:r>
      <w:r>
        <w:rPr>
          <w:rFonts w:hint="eastAsia" w:eastAsiaTheme="minorEastAsia"/>
          <w:bCs/>
          <w:iCs/>
          <w:sz w:val="21"/>
          <w:szCs w:val="21"/>
          <w:lang w:eastAsia="zh-CN"/>
        </w:rPr>
        <w:t>L1-SINR</w:t>
      </w:r>
      <w:r>
        <w:rPr>
          <w:rFonts w:eastAsiaTheme="minorEastAsia"/>
          <w:bCs/>
          <w:iCs/>
          <w:sz w:val="21"/>
          <w:szCs w:val="21"/>
          <w:lang w:eastAsia="zh-CN"/>
        </w:rPr>
        <w:t xml:space="preserve"> for current beam </w:t>
      </w:r>
      <w:r>
        <w:rPr>
          <w:rFonts w:hint="eastAsia" w:eastAsiaTheme="minorEastAsia"/>
          <w:bCs/>
          <w:iCs/>
          <w:sz w:val="21"/>
          <w:szCs w:val="21"/>
          <w:lang w:eastAsia="zh-CN"/>
        </w:rPr>
        <w:t>can be</w:t>
      </w:r>
      <w:r>
        <w:rPr>
          <w:rFonts w:eastAsiaTheme="minorEastAsia"/>
          <w:bCs/>
          <w:iCs/>
          <w:sz w:val="21"/>
          <w:szCs w:val="21"/>
          <w:lang w:eastAsia="zh-CN"/>
        </w:rPr>
        <w:t xml:space="preserve"> </w:t>
      </w:r>
      <w:r>
        <w:rPr>
          <w:rFonts w:hint="eastAsia" w:eastAsiaTheme="minorEastAsia"/>
          <w:bCs/>
          <w:iCs/>
          <w:sz w:val="21"/>
          <w:szCs w:val="21"/>
          <w:lang w:eastAsia="zh-CN"/>
        </w:rPr>
        <w:t xml:space="preserve">measured based on CMR only, where CMR is </w:t>
      </w:r>
      <w:r>
        <w:rPr>
          <w:rFonts w:eastAsiaTheme="minorEastAsia"/>
          <w:bCs/>
          <w:iCs/>
          <w:sz w:val="21"/>
          <w:szCs w:val="21"/>
          <w:lang w:eastAsia="zh-CN"/>
        </w:rPr>
        <w:t>implicitly derived from a QCL RS of indicated TCI state.</w:t>
      </w:r>
      <w:r>
        <w:rPr>
          <w:rFonts w:hint="eastAsia" w:eastAsiaTheme="minorEastAsia"/>
          <w:bCs/>
          <w:iCs/>
          <w:sz w:val="21"/>
          <w:szCs w:val="21"/>
          <w:lang w:eastAsia="zh-CN"/>
        </w:rPr>
        <w:t xml:space="preserve"> T</w:t>
      </w:r>
      <w:r>
        <w:rPr>
          <w:rFonts w:eastAsiaTheme="minorEastAsia"/>
          <w:bCs/>
          <w:iCs/>
          <w:sz w:val="21"/>
          <w:szCs w:val="21"/>
          <w:lang w:eastAsia="zh-CN"/>
        </w:rPr>
        <w:t xml:space="preserve">he </w:t>
      </w:r>
      <w:r>
        <w:rPr>
          <w:rFonts w:hint="eastAsia" w:eastAsiaTheme="minorEastAsia"/>
          <w:bCs/>
          <w:iCs/>
          <w:sz w:val="21"/>
          <w:szCs w:val="21"/>
          <w:lang w:eastAsia="zh-CN"/>
        </w:rPr>
        <w:t>L1-SINR</w:t>
      </w:r>
      <w:r>
        <w:rPr>
          <w:rFonts w:eastAsiaTheme="minorEastAsia"/>
          <w:bCs/>
          <w:iCs/>
          <w:sz w:val="21"/>
          <w:szCs w:val="21"/>
          <w:lang w:eastAsia="zh-CN"/>
        </w:rPr>
        <w:t xml:space="preserve"> for new beams </w:t>
      </w:r>
      <w:r>
        <w:rPr>
          <w:rFonts w:hint="eastAsia" w:eastAsiaTheme="minorEastAsia"/>
          <w:bCs/>
          <w:iCs/>
          <w:sz w:val="21"/>
          <w:szCs w:val="21"/>
          <w:lang w:eastAsia="zh-CN"/>
        </w:rPr>
        <w:t xml:space="preserve">are based </w:t>
      </w:r>
      <w:r>
        <w:rPr>
          <w:sz w:val="21"/>
          <w:szCs w:val="21"/>
        </w:rPr>
        <w:t>CMR only</w:t>
      </w:r>
      <w:r>
        <w:rPr>
          <w:rFonts w:hint="eastAsia"/>
          <w:sz w:val="21"/>
          <w:szCs w:val="21"/>
          <w:lang w:eastAsia="zh-CN"/>
        </w:rPr>
        <w:t xml:space="preserve"> or</w:t>
      </w:r>
      <w:r>
        <w:rPr>
          <w:sz w:val="21"/>
          <w:szCs w:val="21"/>
        </w:rPr>
        <w:t xml:space="preserve"> CMR+ZP/NZP-IMR</w:t>
      </w:r>
      <w:r>
        <w:rPr>
          <w:rFonts w:hint="eastAsia"/>
          <w:sz w:val="21"/>
          <w:szCs w:val="21"/>
          <w:lang w:eastAsia="zh-CN"/>
        </w:rPr>
        <w:t>, which</w:t>
      </w:r>
      <w:r>
        <w:rPr>
          <w:rFonts w:hint="eastAsia" w:eastAsiaTheme="minorEastAsia"/>
          <w:bCs/>
          <w:iCs/>
          <w:sz w:val="21"/>
          <w:szCs w:val="21"/>
          <w:lang w:eastAsia="zh-CN"/>
        </w:rPr>
        <w:t xml:space="preserve"> are </w:t>
      </w:r>
      <w:r>
        <w:rPr>
          <w:rFonts w:eastAsiaTheme="minorEastAsia"/>
          <w:bCs/>
          <w:iCs/>
          <w:sz w:val="21"/>
          <w:szCs w:val="21"/>
          <w:lang w:eastAsia="zh-CN"/>
        </w:rPr>
        <w:t>explicitly configured by RRC</w:t>
      </w:r>
      <w:r>
        <w:rPr>
          <w:rFonts w:hint="eastAsia" w:eastAsiaTheme="minorEastAsia"/>
          <w:bCs/>
          <w:iCs/>
          <w:sz w:val="21"/>
          <w:szCs w:val="21"/>
          <w:lang w:eastAsia="zh-CN"/>
        </w:rPr>
        <w:t>.</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5</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rFonts w:ascii="Arial" w:hAnsi="Arial" w:cs="Arial"/>
          <w:b/>
          <w:sz w:val="28"/>
          <w:szCs w:val="28"/>
          <w:lang w:eastAsia="zh-CN"/>
        </w:rPr>
      </w:pPr>
    </w:p>
    <w:p>
      <w:pPr>
        <w:spacing w:before="120" w:beforeLines="50" w:line="288" w:lineRule="auto"/>
        <w:jc w:val="both"/>
        <w:outlineLvl w:val="0"/>
        <w:rPr>
          <w:rFonts w:ascii="Arial" w:hAnsi="Arial" w:cs="Arial"/>
          <w:b/>
          <w:sz w:val="24"/>
          <w:szCs w:val="24"/>
          <w:lang w:val="en-US" w:eastAsia="zh-CN"/>
        </w:rPr>
      </w:pPr>
      <w:r>
        <w:rPr>
          <w:rFonts w:hint="eastAsia" w:ascii="Arial" w:hAnsi="Arial" w:cs="Arial"/>
          <w:b/>
          <w:sz w:val="24"/>
          <w:szCs w:val="24"/>
          <w:lang w:val="en-US" w:eastAsia="zh-CN"/>
        </w:rPr>
        <w:t xml:space="preserve">4. </w:t>
      </w:r>
      <w:r>
        <w:rPr>
          <w:rFonts w:ascii="Arial" w:hAnsi="Arial" w:cs="Arial"/>
          <w:b/>
          <w:sz w:val="24"/>
          <w:szCs w:val="24"/>
          <w:lang w:val="en-US" w:eastAsia="zh-CN"/>
        </w:rPr>
        <w:t>UL signaling medium/container</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 xml:space="preserve">4.1 </w:t>
      </w:r>
      <w:r>
        <w:rPr>
          <w:rFonts w:ascii="Arial" w:hAnsi="Arial" w:cs="Arial"/>
          <w:b/>
          <w:sz w:val="24"/>
          <w:szCs w:val="24"/>
          <w:lang w:eastAsia="zh-CN"/>
        </w:rPr>
        <w:t>Details on 1-bit first PUCCH for Mode-A and Mode-B</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RAN1#11</w:t>
      </w:r>
      <w:r>
        <w:rPr>
          <w:rFonts w:hint="eastAsia"/>
          <w:sz w:val="21"/>
          <w:szCs w:val="21"/>
          <w:lang w:val="en-US" w:eastAsia="zh-CN"/>
        </w:rPr>
        <w:t>8</w:t>
      </w:r>
      <w:r>
        <w:rPr>
          <w:rFonts w:hint="eastAsia"/>
          <w:sz w:val="21"/>
          <w:szCs w:val="21"/>
          <w:lang w:eastAsia="zh-CN"/>
        </w:rPr>
        <w:t xml:space="preserve"> meeting [3], the agreements related to the d</w:t>
      </w:r>
      <w:r>
        <w:rPr>
          <w:sz w:val="21"/>
          <w:szCs w:val="21"/>
          <w:lang w:eastAsia="zh-CN"/>
        </w:rPr>
        <w:t>etails on 1-bit first PUCCH for Mode-A and Mode-B</w:t>
      </w:r>
      <w:r>
        <w:rPr>
          <w:rFonts w:hint="eastAsia"/>
          <w:sz w:val="21"/>
          <w:szCs w:val="21"/>
          <w:lang w:eastAsia="zh-CN"/>
        </w:rPr>
        <w:t xml:space="preserve"> are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bCs/>
                <w:highlight w:val="green"/>
                <w:lang w:eastAsia="zh-CN"/>
              </w:rPr>
            </w:pPr>
            <w:r>
              <w:rPr>
                <w:b/>
                <w:bCs/>
                <w:highlight w:val="green"/>
                <w:lang w:eastAsia="zh-CN"/>
              </w:rPr>
              <w:t>Agreement</w:t>
            </w:r>
          </w:p>
          <w:p>
            <w:pPr>
              <w:shd w:val="clear" w:color="auto" w:fill="FFFFFF"/>
              <w:adjustRightInd w:val="0"/>
              <w:snapToGrid w:val="0"/>
              <w:jc w:val="both"/>
              <w:rPr>
                <w:rFonts w:eastAsia="宋体"/>
                <w:color w:val="000000"/>
              </w:rPr>
            </w:pPr>
            <w:r>
              <w:rPr>
                <w:rFonts w:eastAsia="宋体"/>
                <w:color w:val="000000"/>
              </w:rPr>
              <w:t>On beam report transmission procedure for UE-initiated/event-driven beam reporting, regarding the dedicated RRC signaling for first PUCCH channel configuration f</w:t>
            </w:r>
            <w:r>
              <w:rPr>
                <w:color w:val="000000"/>
              </w:rPr>
              <w:t xml:space="preserve">or </w:t>
            </w:r>
            <w:r>
              <w:rPr>
                <w:b/>
                <w:color w:val="000000"/>
              </w:rPr>
              <w:t>Mode-A</w:t>
            </w:r>
            <w:r>
              <w:rPr>
                <w:color w:val="000000"/>
              </w:rPr>
              <w:t xml:space="preserve">, down-select one of the following </w:t>
            </w:r>
          </w:p>
          <w:p>
            <w:pPr>
              <w:pStyle w:val="37"/>
              <w:widowControl/>
              <w:numPr>
                <w:ilvl w:val="0"/>
                <w:numId w:val="11"/>
              </w:numPr>
              <w:shd w:val="clear" w:color="auto" w:fill="FFFFFF"/>
              <w:adjustRightInd w:val="0"/>
              <w:snapToGrid w:val="0"/>
              <w:ind w:firstLineChars="0"/>
              <w:rPr>
                <w:rFonts w:ascii="Times New Roman" w:hAnsi="Times New Roman"/>
                <w:b/>
                <w:bCs/>
                <w:iCs/>
                <w:sz w:val="20"/>
                <w:szCs w:val="20"/>
                <w:u w:val="single"/>
              </w:rPr>
            </w:pPr>
            <w:r>
              <w:rPr>
                <w:rFonts w:ascii="Times New Roman" w:hAnsi="Times New Roman"/>
                <w:color w:val="000000"/>
                <w:sz w:val="20"/>
                <w:szCs w:val="20"/>
              </w:rPr>
              <w:t>Alt-</w:t>
            </w:r>
            <w:r>
              <w:rPr>
                <w:rFonts w:ascii="Times New Roman" w:hAnsi="Times New Roman"/>
                <w:sz w:val="20"/>
                <w:szCs w:val="20"/>
              </w:rPr>
              <w:t xml:space="preserve">1 (dedicated SR for mode-A): Introduce RRC parameter, e.g., </w:t>
            </w:r>
            <w:r>
              <w:rPr>
                <w:rFonts w:ascii="Times New Roman" w:hAnsi="Times New Roman"/>
                <w:i/>
                <w:sz w:val="20"/>
                <w:szCs w:val="20"/>
              </w:rPr>
              <w:t>reportResourceRequest-UEIBR</w:t>
            </w:r>
            <w:r>
              <w:rPr>
                <w:rFonts w:ascii="Times New Roman" w:hAnsi="Times New Roman"/>
                <w:sz w:val="20"/>
                <w:szCs w:val="20"/>
              </w:rPr>
              <w:t>, corresponding to the one-bit indication in the first PUCCH channel</w:t>
            </w:r>
          </w:p>
          <w:p>
            <w:pPr>
              <w:pStyle w:val="37"/>
              <w:widowControl/>
              <w:numPr>
                <w:ilvl w:val="1"/>
                <w:numId w:val="11"/>
              </w:numPr>
              <w:shd w:val="clear" w:color="auto" w:fill="FFFFFF"/>
              <w:adjustRightInd w:val="0"/>
              <w:snapToGrid w:val="0"/>
              <w:ind w:firstLineChars="0"/>
              <w:rPr>
                <w:rFonts w:ascii="Times New Roman" w:hAnsi="Times New Roman"/>
                <w:sz w:val="20"/>
                <w:szCs w:val="20"/>
              </w:rPr>
            </w:pPr>
            <w:r>
              <w:rPr>
                <w:rFonts w:ascii="Times New Roman" w:hAnsi="Times New Roman"/>
                <w:sz w:val="20"/>
                <w:szCs w:val="20"/>
              </w:rPr>
              <w:t xml:space="preserve">The RRC parameter is associated with the dedicated </w:t>
            </w:r>
            <w:r>
              <w:rPr>
                <w:rFonts w:ascii="Times New Roman" w:hAnsi="Times New Roman"/>
                <w:i/>
                <w:sz w:val="20"/>
                <w:szCs w:val="20"/>
              </w:rPr>
              <w:t>SchedulingRequestId</w:t>
            </w:r>
            <w:r>
              <w:rPr>
                <w:rFonts w:ascii="Times New Roman" w:hAnsi="Times New Roman"/>
                <w:sz w:val="20"/>
                <w:szCs w:val="20"/>
              </w:rPr>
              <w:t xml:space="preserve">. </w:t>
            </w:r>
          </w:p>
          <w:p>
            <w:pPr>
              <w:pStyle w:val="37"/>
              <w:widowControl/>
              <w:numPr>
                <w:ilvl w:val="2"/>
                <w:numId w:val="11"/>
              </w:numPr>
              <w:shd w:val="clear" w:color="auto" w:fill="FFFFFF"/>
              <w:adjustRightInd w:val="0"/>
              <w:snapToGrid w:val="0"/>
              <w:ind w:firstLineChars="0"/>
              <w:rPr>
                <w:rFonts w:ascii="Times New Roman" w:hAnsi="Times New Roman"/>
                <w:sz w:val="20"/>
                <w:szCs w:val="20"/>
              </w:rPr>
            </w:pPr>
            <w:r>
              <w:rPr>
                <w:rFonts w:ascii="Times New Roman" w:hAnsi="Times New Roman"/>
                <w:sz w:val="20"/>
                <w:szCs w:val="20"/>
              </w:rPr>
              <w:t>Note: The detailed signaling is up to RAN2.</w:t>
            </w:r>
          </w:p>
          <w:p>
            <w:pPr>
              <w:pStyle w:val="37"/>
              <w:widowControl/>
              <w:numPr>
                <w:ilvl w:val="0"/>
                <w:numId w:val="11"/>
              </w:numPr>
              <w:shd w:val="clear" w:color="auto" w:fill="FFFFFF"/>
              <w:adjustRightInd w:val="0"/>
              <w:snapToGrid w:val="0"/>
              <w:ind w:firstLineChars="0"/>
              <w:rPr>
                <w:rFonts w:ascii="Times New Roman" w:hAnsi="Times New Roman"/>
                <w:sz w:val="20"/>
                <w:szCs w:val="20"/>
              </w:rPr>
            </w:pPr>
            <w:r>
              <w:rPr>
                <w:rFonts w:ascii="Times New Roman" w:hAnsi="Times New Roman"/>
                <w:sz w:val="20"/>
                <w:szCs w:val="20"/>
              </w:rPr>
              <w:t xml:space="preserve">Alt 2 (new UCI type): Introduce RRC parameter, e.g., </w:t>
            </w:r>
            <w:r>
              <w:rPr>
                <w:rFonts w:ascii="Times New Roman" w:hAnsi="Times New Roman"/>
                <w:i/>
                <w:sz w:val="20"/>
                <w:szCs w:val="20"/>
              </w:rPr>
              <w:t>f</w:t>
            </w:r>
            <w:r>
              <w:rPr>
                <w:rFonts w:ascii="Times New Roman" w:hAnsi="Times New Roman"/>
                <w:i/>
                <w:iCs/>
                <w:sz w:val="20"/>
                <w:szCs w:val="20"/>
              </w:rPr>
              <w:t>irstPUCCHResourceConfig-ModeA-UEIBR</w:t>
            </w:r>
            <w:r>
              <w:rPr>
                <w:rFonts w:ascii="Times New Roman" w:hAnsi="Times New Roman"/>
                <w:sz w:val="20"/>
                <w:szCs w:val="20"/>
              </w:rPr>
              <w:t>, for the periodic PUCCH resource configuration.</w:t>
            </w:r>
          </w:p>
          <w:p>
            <w:pPr>
              <w:pStyle w:val="37"/>
              <w:widowControl/>
              <w:numPr>
                <w:ilvl w:val="1"/>
                <w:numId w:val="11"/>
              </w:numPr>
              <w:shd w:val="clear" w:color="auto" w:fill="FFFFFF"/>
              <w:adjustRightInd w:val="0"/>
              <w:snapToGrid w:val="0"/>
              <w:ind w:firstLineChars="0"/>
              <w:rPr>
                <w:rFonts w:ascii="Times New Roman" w:hAnsi="Times New Roman"/>
                <w:sz w:val="20"/>
                <w:szCs w:val="20"/>
              </w:rPr>
            </w:pPr>
            <w:r>
              <w:rPr>
                <w:rFonts w:ascii="Times New Roman" w:hAnsi="Times New Roman"/>
                <w:sz w:val="20"/>
                <w:szCs w:val="20"/>
              </w:rPr>
              <w:t xml:space="preserve">Note: The RRC parameter is NOT associated with </w:t>
            </w:r>
            <w:r>
              <w:rPr>
                <w:rFonts w:ascii="Times New Roman" w:hAnsi="Times New Roman"/>
                <w:i/>
                <w:sz w:val="20"/>
                <w:szCs w:val="20"/>
              </w:rPr>
              <w:t>SchedulingRequestId</w:t>
            </w:r>
            <w:r>
              <w:rPr>
                <w:rFonts w:ascii="Times New Roman" w:hAnsi="Times New Roman"/>
                <w:sz w:val="20"/>
                <w:szCs w:val="20"/>
              </w:rPr>
              <w:t xml:space="preserve">. </w:t>
            </w:r>
          </w:p>
          <w:p>
            <w:pPr>
              <w:pStyle w:val="37"/>
              <w:widowControl/>
              <w:numPr>
                <w:ilvl w:val="1"/>
                <w:numId w:val="11"/>
              </w:numPr>
              <w:shd w:val="clear" w:color="auto" w:fill="FFFFFF"/>
              <w:adjustRightInd w:val="0"/>
              <w:snapToGrid w:val="0"/>
              <w:ind w:firstLineChars="0"/>
              <w:rPr>
                <w:rFonts w:ascii="Times New Roman" w:hAnsi="Times New Roman"/>
                <w:sz w:val="20"/>
                <w:szCs w:val="20"/>
              </w:rPr>
            </w:pPr>
            <w:r>
              <w:rPr>
                <w:rFonts w:ascii="Times New Roman" w:hAnsi="Times New Roman"/>
                <w:sz w:val="20"/>
                <w:szCs w:val="20"/>
              </w:rPr>
              <w:t>FFS: how to encode 1-bit to PUCCH resource, e.g., reuse encoding mechanism of positive/negative SR.</w:t>
            </w:r>
          </w:p>
          <w:p>
            <w:pPr>
              <w:pStyle w:val="37"/>
              <w:widowControl/>
              <w:numPr>
                <w:ilvl w:val="1"/>
                <w:numId w:val="11"/>
              </w:numPr>
              <w:shd w:val="clear" w:color="auto" w:fill="FFFFFF"/>
              <w:adjustRightInd w:val="0"/>
              <w:snapToGrid w:val="0"/>
              <w:ind w:firstLineChars="0"/>
              <w:rPr>
                <w:rFonts w:ascii="Times New Roman" w:hAnsi="Times New Roman"/>
                <w:sz w:val="20"/>
                <w:szCs w:val="20"/>
              </w:rPr>
            </w:pPr>
            <w:r>
              <w:rPr>
                <w:rFonts w:ascii="Times New Roman" w:hAnsi="Times New Roman"/>
                <w:sz w:val="20"/>
                <w:szCs w:val="20"/>
              </w:rPr>
              <w:t>The dedicated RRC parameter at least comprises the following:</w:t>
            </w:r>
          </w:p>
          <w:p>
            <w:pPr>
              <w:pStyle w:val="37"/>
              <w:widowControl/>
              <w:numPr>
                <w:ilvl w:val="2"/>
                <w:numId w:val="11"/>
              </w:numPr>
              <w:shd w:val="clear" w:color="auto" w:fill="FFFFFF"/>
              <w:adjustRightInd w:val="0"/>
              <w:snapToGrid w:val="0"/>
              <w:ind w:firstLineChars="0"/>
              <w:rPr>
                <w:rFonts w:ascii="Times New Roman" w:hAnsi="Times New Roman"/>
                <w:i/>
                <w:sz w:val="20"/>
                <w:szCs w:val="20"/>
              </w:rPr>
            </w:pPr>
            <w:r>
              <w:rPr>
                <w:rFonts w:ascii="Times New Roman" w:hAnsi="Times New Roman"/>
                <w:i/>
                <w:sz w:val="20"/>
                <w:szCs w:val="20"/>
              </w:rPr>
              <w:t>periodicityAndOffset</w:t>
            </w:r>
          </w:p>
          <w:p>
            <w:pPr>
              <w:pStyle w:val="37"/>
              <w:widowControl/>
              <w:numPr>
                <w:ilvl w:val="2"/>
                <w:numId w:val="11"/>
              </w:numPr>
              <w:shd w:val="clear" w:color="auto" w:fill="FFFFFF"/>
              <w:adjustRightInd w:val="0"/>
              <w:snapToGrid w:val="0"/>
              <w:ind w:firstLineChars="0"/>
              <w:rPr>
                <w:rFonts w:ascii="Times New Roman" w:hAnsi="Times New Roman"/>
                <w:i/>
                <w:sz w:val="20"/>
                <w:szCs w:val="20"/>
              </w:rPr>
            </w:pPr>
            <w:r>
              <w:rPr>
                <w:rFonts w:ascii="Times New Roman" w:hAnsi="Times New Roman"/>
                <w:i/>
                <w:sz w:val="20"/>
                <w:szCs w:val="20"/>
              </w:rPr>
              <w:t xml:space="preserve">PUCCH-ResourceID </w:t>
            </w:r>
          </w:p>
          <w:p>
            <w:pPr>
              <w:pStyle w:val="37"/>
              <w:widowControl/>
              <w:numPr>
                <w:ilvl w:val="0"/>
                <w:numId w:val="11"/>
              </w:numPr>
              <w:shd w:val="clear" w:color="auto" w:fill="FFFFFF"/>
              <w:adjustRightInd w:val="0"/>
              <w:snapToGrid w:val="0"/>
              <w:ind w:firstLineChars="0"/>
              <w:rPr>
                <w:rFonts w:ascii="Times New Roman" w:hAnsi="Times New Roman"/>
                <w:color w:val="000000"/>
                <w:sz w:val="20"/>
                <w:szCs w:val="20"/>
              </w:rPr>
            </w:pPr>
            <w:r>
              <w:rPr>
                <w:rFonts w:ascii="Times New Roman" w:hAnsi="Times New Roman"/>
                <w:color w:val="000000"/>
                <w:sz w:val="20"/>
                <w:szCs w:val="20"/>
              </w:rPr>
              <w:t>Above applies at least for the single CC case.</w:t>
            </w:r>
          </w:p>
          <w:p>
            <w:pPr>
              <w:jc w:val="both"/>
              <w:rPr>
                <w:rFonts w:eastAsia="Batang"/>
                <w:b/>
                <w:bCs/>
                <w:highlight w:val="green"/>
                <w:lang w:eastAsia="zh-CN"/>
              </w:rPr>
            </w:pPr>
            <w:r>
              <w:rPr>
                <w:rFonts w:eastAsia="Batang"/>
                <w:b/>
                <w:bCs/>
                <w:highlight w:val="green"/>
                <w:lang w:eastAsia="zh-CN"/>
              </w:rPr>
              <w:t>Agreement</w:t>
            </w:r>
          </w:p>
          <w:p>
            <w:pPr>
              <w:shd w:val="clear" w:color="auto" w:fill="FFFFFF"/>
              <w:adjustRightInd w:val="0"/>
              <w:snapToGrid w:val="0"/>
              <w:jc w:val="both"/>
              <w:rPr>
                <w:rFonts w:eastAsia="宋体"/>
                <w:color w:val="000000"/>
              </w:rPr>
            </w:pPr>
            <w:r>
              <w:rPr>
                <w:rFonts w:eastAsia="宋体"/>
                <w:color w:val="000000"/>
              </w:rPr>
              <w:t>On beam report transmission procedure for UE-initiated/event-driven beam reporting, regarding the dedicated RRC signaling for first PUCCH channel configuration f</w:t>
            </w:r>
            <w:r>
              <w:rPr>
                <w:rFonts w:eastAsia="Batang"/>
                <w:color w:val="000000"/>
              </w:rPr>
              <w:t xml:space="preserve">or </w:t>
            </w:r>
            <w:r>
              <w:rPr>
                <w:rFonts w:eastAsia="Batang"/>
                <w:b/>
                <w:color w:val="000000"/>
              </w:rPr>
              <w:t>Mode-B</w:t>
            </w:r>
            <w:r>
              <w:rPr>
                <w:rFonts w:eastAsia="Batang"/>
                <w:color w:val="000000"/>
              </w:rPr>
              <w:t xml:space="preserve">, down-select one of the following </w:t>
            </w:r>
          </w:p>
          <w:p>
            <w:pPr>
              <w:numPr>
                <w:ilvl w:val="0"/>
                <w:numId w:val="11"/>
              </w:numPr>
              <w:shd w:val="clear" w:color="auto" w:fill="FFFFFF"/>
              <w:adjustRightInd w:val="0"/>
              <w:snapToGrid w:val="0"/>
              <w:jc w:val="both"/>
              <w:rPr>
                <w:rFonts w:eastAsia="Batang"/>
                <w:b/>
                <w:bCs/>
                <w:iCs/>
                <w:u w:val="single"/>
                <w:lang w:eastAsia="zh-CN"/>
              </w:rPr>
            </w:pPr>
            <w:r>
              <w:rPr>
                <w:rFonts w:eastAsia="Batang"/>
                <w:color w:val="000000"/>
                <w:lang w:eastAsia="zh-CN"/>
              </w:rPr>
              <w:t xml:space="preserve">Alt </w:t>
            </w:r>
            <w:r>
              <w:rPr>
                <w:rFonts w:eastAsia="Batang"/>
                <w:lang w:eastAsia="zh-CN"/>
              </w:rPr>
              <w:t xml:space="preserve">1 (dedicated SR for mode-B): Introduce RRC parameter, e.g., </w:t>
            </w:r>
            <w:r>
              <w:rPr>
                <w:rFonts w:eastAsia="Batang"/>
                <w:i/>
                <w:iCs/>
                <w:lang w:eastAsia="zh-CN"/>
              </w:rPr>
              <w:t>reportNotification-UEIBR</w:t>
            </w:r>
            <w:r>
              <w:rPr>
                <w:rFonts w:eastAsia="Batang"/>
                <w:lang w:eastAsia="zh-CN"/>
              </w:rPr>
              <w:t>, corresponding to the one-bit indication in the first PUCCH channel</w:t>
            </w:r>
          </w:p>
          <w:p>
            <w:pPr>
              <w:numPr>
                <w:ilvl w:val="1"/>
                <w:numId w:val="11"/>
              </w:numPr>
              <w:shd w:val="clear" w:color="auto" w:fill="FFFFFF"/>
              <w:adjustRightInd w:val="0"/>
              <w:snapToGrid w:val="0"/>
              <w:jc w:val="both"/>
              <w:rPr>
                <w:rFonts w:eastAsia="Batang"/>
                <w:lang w:eastAsia="zh-CN"/>
              </w:rPr>
            </w:pPr>
            <w:r>
              <w:rPr>
                <w:rFonts w:eastAsia="Batang"/>
                <w:lang w:eastAsia="zh-CN"/>
              </w:rPr>
              <w:t xml:space="preserve">The RRC parameter is associated with the dedicated </w:t>
            </w:r>
            <w:r>
              <w:rPr>
                <w:rFonts w:eastAsia="Batang"/>
                <w:i/>
                <w:lang w:eastAsia="zh-CN"/>
              </w:rPr>
              <w:t>SchedulingRequestId</w:t>
            </w:r>
            <w:r>
              <w:rPr>
                <w:rFonts w:eastAsia="Batang"/>
                <w:lang w:eastAsia="zh-CN"/>
              </w:rPr>
              <w:t xml:space="preserve">. </w:t>
            </w:r>
          </w:p>
          <w:p>
            <w:pPr>
              <w:numPr>
                <w:ilvl w:val="2"/>
                <w:numId w:val="11"/>
              </w:numPr>
              <w:shd w:val="clear" w:color="auto" w:fill="FFFFFF"/>
              <w:adjustRightInd w:val="0"/>
              <w:snapToGrid w:val="0"/>
              <w:jc w:val="both"/>
              <w:rPr>
                <w:rFonts w:eastAsia="Batang"/>
                <w:lang w:eastAsia="zh-CN"/>
              </w:rPr>
            </w:pPr>
            <w:r>
              <w:rPr>
                <w:rFonts w:eastAsia="Batang"/>
                <w:lang w:eastAsia="zh-CN"/>
              </w:rPr>
              <w:t>Note: The detailed signaling is up to RAN2.</w:t>
            </w:r>
          </w:p>
          <w:p>
            <w:pPr>
              <w:numPr>
                <w:ilvl w:val="0"/>
                <w:numId w:val="11"/>
              </w:numPr>
              <w:shd w:val="clear" w:color="auto" w:fill="FFFFFF"/>
              <w:adjustRightInd w:val="0"/>
              <w:snapToGrid w:val="0"/>
              <w:jc w:val="both"/>
              <w:rPr>
                <w:rFonts w:eastAsia="Batang"/>
                <w:lang w:eastAsia="zh-CN"/>
              </w:rPr>
            </w:pPr>
            <w:r>
              <w:rPr>
                <w:rFonts w:eastAsia="Batang"/>
                <w:lang w:eastAsia="zh-CN"/>
              </w:rPr>
              <w:t xml:space="preserve">Alt 2 (new UCI type): Introduce RRC parameter, e.g., </w:t>
            </w:r>
            <w:r>
              <w:rPr>
                <w:rFonts w:eastAsia="Batang"/>
                <w:i/>
                <w:lang w:eastAsia="zh-CN"/>
              </w:rPr>
              <w:t>f</w:t>
            </w:r>
            <w:r>
              <w:rPr>
                <w:rFonts w:eastAsia="Batang"/>
                <w:i/>
                <w:iCs/>
                <w:lang w:eastAsia="zh-CN"/>
              </w:rPr>
              <w:t>irstPUCCHResourceConfig-ModeB-UEIBR</w:t>
            </w:r>
            <w:r>
              <w:rPr>
                <w:rFonts w:eastAsia="Batang"/>
                <w:lang w:eastAsia="zh-CN"/>
              </w:rPr>
              <w:t>, for the periodic PUCCH resource configuration.</w:t>
            </w:r>
          </w:p>
          <w:p>
            <w:pPr>
              <w:numPr>
                <w:ilvl w:val="1"/>
                <w:numId w:val="11"/>
              </w:numPr>
              <w:shd w:val="clear" w:color="auto" w:fill="FFFFFF"/>
              <w:adjustRightInd w:val="0"/>
              <w:snapToGrid w:val="0"/>
              <w:jc w:val="both"/>
              <w:rPr>
                <w:rFonts w:eastAsia="Batang"/>
                <w:lang w:eastAsia="zh-CN"/>
              </w:rPr>
            </w:pPr>
            <w:r>
              <w:rPr>
                <w:rFonts w:eastAsia="Batang"/>
                <w:lang w:eastAsia="zh-CN"/>
              </w:rPr>
              <w:t xml:space="preserve">Note: The RRC parameter is NOT associated with </w:t>
            </w:r>
            <w:r>
              <w:rPr>
                <w:rFonts w:eastAsia="Batang"/>
                <w:i/>
                <w:lang w:eastAsia="zh-CN"/>
              </w:rPr>
              <w:t>SchedulingRequestId</w:t>
            </w:r>
            <w:r>
              <w:rPr>
                <w:rFonts w:eastAsia="Batang"/>
                <w:lang w:eastAsia="zh-CN"/>
              </w:rPr>
              <w:t xml:space="preserve">. </w:t>
            </w:r>
          </w:p>
          <w:p>
            <w:pPr>
              <w:numPr>
                <w:ilvl w:val="1"/>
                <w:numId w:val="11"/>
              </w:numPr>
              <w:shd w:val="clear" w:color="auto" w:fill="FFFFFF"/>
              <w:adjustRightInd w:val="0"/>
              <w:snapToGrid w:val="0"/>
              <w:jc w:val="both"/>
              <w:rPr>
                <w:rFonts w:eastAsia="Batang"/>
                <w:lang w:eastAsia="zh-CN"/>
              </w:rPr>
            </w:pPr>
            <w:r>
              <w:rPr>
                <w:rFonts w:eastAsia="Batang"/>
                <w:lang w:eastAsia="zh-CN"/>
              </w:rPr>
              <w:t xml:space="preserve">FFS: how to encode 1-bit to PUCCH resource, e.g., reuse encoding mechanism of positive/negative SR. </w:t>
            </w:r>
          </w:p>
          <w:p>
            <w:pPr>
              <w:numPr>
                <w:ilvl w:val="1"/>
                <w:numId w:val="11"/>
              </w:numPr>
              <w:shd w:val="clear" w:color="auto" w:fill="FFFFFF"/>
              <w:adjustRightInd w:val="0"/>
              <w:snapToGrid w:val="0"/>
              <w:jc w:val="both"/>
              <w:rPr>
                <w:rFonts w:eastAsia="Batang"/>
                <w:lang w:eastAsia="zh-CN"/>
              </w:rPr>
            </w:pPr>
            <w:r>
              <w:rPr>
                <w:rFonts w:eastAsia="Batang"/>
                <w:lang w:eastAsia="zh-CN"/>
              </w:rPr>
              <w:t>The dedicated RRC parameter at least comprises the following:</w:t>
            </w:r>
          </w:p>
          <w:p>
            <w:pPr>
              <w:numPr>
                <w:ilvl w:val="2"/>
                <w:numId w:val="11"/>
              </w:numPr>
              <w:shd w:val="clear" w:color="auto" w:fill="FFFFFF"/>
              <w:adjustRightInd w:val="0"/>
              <w:snapToGrid w:val="0"/>
              <w:jc w:val="both"/>
              <w:rPr>
                <w:rFonts w:eastAsia="Batang"/>
                <w:i/>
                <w:lang w:eastAsia="zh-CN"/>
              </w:rPr>
            </w:pPr>
            <w:r>
              <w:rPr>
                <w:rFonts w:eastAsia="Batang"/>
                <w:i/>
                <w:lang w:eastAsia="zh-CN"/>
              </w:rPr>
              <w:t>periodicityAndOffset</w:t>
            </w:r>
          </w:p>
          <w:p>
            <w:pPr>
              <w:numPr>
                <w:ilvl w:val="2"/>
                <w:numId w:val="11"/>
              </w:numPr>
              <w:shd w:val="clear" w:color="auto" w:fill="FFFFFF"/>
              <w:adjustRightInd w:val="0"/>
              <w:snapToGrid w:val="0"/>
              <w:jc w:val="both"/>
              <w:rPr>
                <w:rFonts w:eastAsia="Batang"/>
                <w:i/>
                <w:lang w:eastAsia="zh-CN"/>
              </w:rPr>
            </w:pPr>
            <w:r>
              <w:rPr>
                <w:rFonts w:eastAsia="Batang"/>
                <w:i/>
                <w:lang w:eastAsia="zh-CN"/>
              </w:rPr>
              <w:t>PUCCH-ResourceID</w:t>
            </w:r>
          </w:p>
          <w:p>
            <w:pPr>
              <w:numPr>
                <w:ilvl w:val="0"/>
                <w:numId w:val="11"/>
              </w:numPr>
              <w:shd w:val="clear" w:color="auto" w:fill="FFFFFF"/>
              <w:adjustRightInd w:val="0"/>
              <w:snapToGrid w:val="0"/>
              <w:jc w:val="both"/>
              <w:rPr>
                <w:rFonts w:eastAsia="Malgun Gothic"/>
                <w:lang w:eastAsia="zh-CN"/>
              </w:rPr>
            </w:pPr>
            <w:r>
              <w:rPr>
                <w:rFonts w:eastAsia="Batang"/>
                <w:color w:val="000000"/>
                <w:lang w:eastAsia="zh-CN"/>
              </w:rPr>
              <w:t>Above is at least applied to a single CC case.</w:t>
            </w:r>
          </w:p>
        </w:tc>
      </w:tr>
    </w:tbl>
    <w:p>
      <w:pPr>
        <w:snapToGrid w:val="0"/>
        <w:spacing w:before="120" w:beforeLines="50" w:line="288" w:lineRule="auto"/>
        <w:jc w:val="both"/>
        <w:rPr>
          <w:sz w:val="21"/>
          <w:szCs w:val="21"/>
          <w:lang w:val="en-US" w:eastAsia="zh-CN"/>
        </w:rPr>
      </w:pPr>
      <w:r>
        <w:rPr>
          <w:rFonts w:hint="eastAsia"/>
          <w:sz w:val="21"/>
          <w:szCs w:val="21"/>
          <w:lang w:val="en-US" w:eastAsia="zh-CN"/>
        </w:rPr>
        <w:t>R</w:t>
      </w:r>
      <w:r>
        <w:rPr>
          <w:sz w:val="21"/>
          <w:szCs w:val="21"/>
          <w:lang w:val="en-US" w:eastAsia="zh-CN"/>
        </w:rPr>
        <w:t>egarding the dedicated RRC signaling for first PUCCH channel configuration for Mode-</w:t>
      </w:r>
      <w:r>
        <w:rPr>
          <w:rFonts w:hint="eastAsia"/>
          <w:sz w:val="21"/>
          <w:szCs w:val="21"/>
          <w:lang w:val="en-US" w:eastAsia="zh-CN"/>
        </w:rPr>
        <w:t xml:space="preserve">A and </w:t>
      </w:r>
      <w:r>
        <w:rPr>
          <w:sz w:val="21"/>
          <w:szCs w:val="21"/>
          <w:lang w:val="en-US" w:eastAsia="zh-CN"/>
        </w:rPr>
        <w:t>Mode-B</w:t>
      </w:r>
      <w:r>
        <w:rPr>
          <w:rFonts w:hint="eastAsia"/>
          <w:sz w:val="21"/>
          <w:szCs w:val="21"/>
          <w:lang w:val="en-US" w:eastAsia="zh-CN"/>
        </w:rPr>
        <w:t xml:space="preserve">, whether dedicated SR or new UCI type has been </w:t>
      </w:r>
      <w:r>
        <w:rPr>
          <w:sz w:val="21"/>
          <w:szCs w:val="21"/>
          <w:lang w:val="en-US" w:eastAsia="zh-CN"/>
        </w:rPr>
        <w:t>discussed</w:t>
      </w:r>
      <w:r>
        <w:rPr>
          <w:rFonts w:hint="eastAsia"/>
          <w:sz w:val="21"/>
          <w:szCs w:val="21"/>
          <w:lang w:val="en-US" w:eastAsia="zh-CN"/>
        </w:rPr>
        <w:t xml:space="preserve">. Regarding dedicated SR, multiple issues should be discussed: 1) The usage of first PUCCH </w:t>
      </w:r>
      <w:r>
        <w:rPr>
          <w:sz w:val="21"/>
          <w:szCs w:val="21"/>
          <w:lang w:val="en-US" w:eastAsia="zh-CN"/>
        </w:rPr>
        <w:t>channel</w:t>
      </w:r>
      <w:r>
        <w:rPr>
          <w:rFonts w:hint="eastAsia"/>
          <w:sz w:val="21"/>
          <w:szCs w:val="21"/>
          <w:lang w:val="en-US" w:eastAsia="zh-CN"/>
        </w:rPr>
        <w:t xml:space="preserve"> is </w:t>
      </w:r>
      <w:r>
        <w:rPr>
          <w:sz w:val="21"/>
          <w:szCs w:val="21"/>
          <w:lang w:val="en-US" w:eastAsia="zh-CN"/>
        </w:rPr>
        <w:t>diffe</w:t>
      </w:r>
      <w:r>
        <w:rPr>
          <w:rFonts w:hint="eastAsia"/>
          <w:sz w:val="21"/>
          <w:szCs w:val="21"/>
          <w:lang w:val="en-US" w:eastAsia="zh-CN"/>
        </w:rPr>
        <w:t xml:space="preserve">rent from SR. SR is </w:t>
      </w:r>
      <w:r>
        <w:rPr>
          <w:sz w:val="21"/>
          <w:szCs w:val="21"/>
          <w:lang w:val="en-US" w:eastAsia="zh-CN"/>
        </w:rPr>
        <w:t xml:space="preserve">used for requesting </w:t>
      </w:r>
      <w:r>
        <w:rPr>
          <w:rFonts w:hint="eastAsia"/>
          <w:sz w:val="21"/>
          <w:szCs w:val="21"/>
          <w:lang w:val="en-US" w:eastAsia="zh-CN"/>
        </w:rPr>
        <w:t>PU</w:t>
      </w:r>
      <w:r>
        <w:rPr>
          <w:sz w:val="21"/>
          <w:szCs w:val="21"/>
          <w:lang w:val="en-US" w:eastAsia="zh-CN"/>
        </w:rPr>
        <w:t>SCH resource for data transmission.</w:t>
      </w:r>
      <w:r>
        <w:rPr>
          <w:rFonts w:hint="eastAsia"/>
          <w:sz w:val="21"/>
          <w:szCs w:val="21"/>
          <w:lang w:val="en-US" w:eastAsia="zh-CN"/>
        </w:rPr>
        <w:t xml:space="preserve"> While for Mode-A, </w:t>
      </w:r>
      <w:r>
        <w:rPr>
          <w:sz w:val="21"/>
          <w:szCs w:val="21"/>
          <w:lang w:val="en-US" w:eastAsia="zh-CN"/>
        </w:rPr>
        <w:t>first</w:t>
      </w:r>
      <w:r>
        <w:rPr>
          <w:rFonts w:hint="eastAsia"/>
          <w:sz w:val="21"/>
          <w:szCs w:val="21"/>
          <w:lang w:val="en-US" w:eastAsia="zh-CN"/>
        </w:rPr>
        <w:t xml:space="preserve"> PUCCH </w:t>
      </w:r>
      <w:r>
        <w:rPr>
          <w:sz w:val="21"/>
          <w:szCs w:val="21"/>
          <w:lang w:val="en-US" w:eastAsia="zh-CN"/>
        </w:rPr>
        <w:t>channel</w:t>
      </w:r>
      <w:r>
        <w:rPr>
          <w:rFonts w:hint="eastAsia"/>
          <w:sz w:val="21"/>
          <w:szCs w:val="21"/>
          <w:lang w:val="en-US" w:eastAsia="zh-CN"/>
        </w:rPr>
        <w:t xml:space="preserve"> is used for requesting PUSCH resource for UCI transmission, for Mode-B, first PUCCH channel is used for notifying gNB that UE will use the second CG-PUSCH channel for UCI transmission. The usage and motivation of SR is totally different with legacy. 2) In legacy, SR is dropped </w:t>
      </w:r>
      <w:r>
        <w:rPr>
          <w:sz w:val="21"/>
          <w:szCs w:val="21"/>
          <w:lang w:val="en-US" w:eastAsia="zh-CN"/>
        </w:rPr>
        <w:t>when overlapping with a PUSCH</w:t>
      </w:r>
      <w:r>
        <w:rPr>
          <w:rFonts w:hint="eastAsia"/>
          <w:sz w:val="21"/>
          <w:szCs w:val="21"/>
          <w:lang w:val="en-US" w:eastAsia="zh-CN"/>
        </w:rPr>
        <w:t xml:space="preserve"> transmission. However, for both Mode-A and Mode-B, first PUCCH should be always transmitted. If dedicated SR is used for the first PUCCH </w:t>
      </w:r>
      <w:r>
        <w:rPr>
          <w:sz w:val="21"/>
          <w:szCs w:val="21"/>
          <w:lang w:val="en-US" w:eastAsia="zh-CN"/>
        </w:rPr>
        <w:t>channel</w:t>
      </w:r>
      <w:r>
        <w:rPr>
          <w:rFonts w:hint="eastAsia"/>
          <w:sz w:val="21"/>
          <w:szCs w:val="21"/>
          <w:lang w:val="en-US" w:eastAsia="zh-CN"/>
        </w:rPr>
        <w:t xml:space="preserve">, the spec impact is to describe the different usage and conditions for the dedicated SR. Furthermore, for single CC and single event case, the dedicated SR </w:t>
      </w:r>
      <w:r>
        <w:rPr>
          <w:sz w:val="21"/>
          <w:szCs w:val="21"/>
          <w:lang w:val="en-US" w:eastAsia="zh-CN"/>
        </w:rPr>
        <w:t>with</w:t>
      </w:r>
      <w:r>
        <w:rPr>
          <w:rFonts w:hint="eastAsia"/>
          <w:sz w:val="21"/>
          <w:szCs w:val="21"/>
          <w:lang w:val="en-US" w:eastAsia="zh-CN"/>
        </w:rPr>
        <w:t xml:space="preserve"> 1-bit is enough to indicate or notify gNB for both Mode-A and Mode-B. For the future, we will consider scenarios involving multiple CCs and multiple events, and we hope to have a unified design for the first channel. In multiple CCs and multiple events scenarios, the 1-bit indication in the first channel is insufficient to provide adequate information for the second channel. Therefore, we support Alt-2, which involves designing a new UCI type with 1 or multiple bits to provide flexibility. It is also possible to consider a joint design for multiple CCs and multiple events within the first channel. </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6</w:t>
      </w:r>
      <w:r>
        <w:rPr>
          <w:b/>
          <w:bCs/>
          <w:i/>
          <w:iCs/>
          <w:sz w:val="21"/>
          <w:szCs w:val="21"/>
          <w:lang w:eastAsia="zh-CN"/>
        </w:rPr>
        <w:t xml:space="preserve">: </w:t>
      </w:r>
      <w:r>
        <w:rPr>
          <w:rFonts w:hint="eastAsia"/>
          <w:b/>
          <w:bCs/>
          <w:i/>
          <w:iCs/>
          <w:sz w:val="21"/>
          <w:szCs w:val="21"/>
          <w:lang w:eastAsia="zh-CN"/>
        </w:rPr>
        <w:t>R</w:t>
      </w:r>
      <w:r>
        <w:rPr>
          <w:b/>
          <w:bCs/>
          <w:i/>
          <w:iCs/>
          <w:sz w:val="21"/>
          <w:szCs w:val="21"/>
          <w:lang w:eastAsia="zh-CN"/>
        </w:rPr>
        <w:t>egarding the dedicated RRC signaling for first PUCCH channel configuration for Mode-</w:t>
      </w:r>
      <w:r>
        <w:rPr>
          <w:rFonts w:hint="eastAsia"/>
          <w:b/>
          <w:bCs/>
          <w:i/>
          <w:iCs/>
          <w:sz w:val="21"/>
          <w:szCs w:val="21"/>
          <w:lang w:eastAsia="zh-CN"/>
        </w:rPr>
        <w:t>A and</w:t>
      </w:r>
      <w:r>
        <w:rPr>
          <w:rStyle w:val="22"/>
          <w:rFonts w:hint="eastAsia" w:eastAsiaTheme="minorEastAsia"/>
          <w:i/>
          <w:iCs/>
          <w:sz w:val="21"/>
          <w:szCs w:val="21"/>
          <w:lang w:eastAsia="zh-CN"/>
        </w:rPr>
        <w:t xml:space="preserve"> </w:t>
      </w:r>
      <w:r>
        <w:rPr>
          <w:rStyle w:val="22"/>
          <w:rFonts w:hint="eastAsia" w:eastAsiaTheme="minorEastAsia"/>
          <w:i/>
          <w:iCs/>
          <w:sz w:val="21"/>
          <w:szCs w:val="21"/>
          <w:lang w:val="en-US" w:eastAsia="zh-CN"/>
        </w:rPr>
        <w:t>Mode B</w:t>
      </w:r>
      <w:r>
        <w:rPr>
          <w:rStyle w:val="22"/>
          <w:rFonts w:hint="eastAsia" w:eastAsiaTheme="minorEastAsia"/>
          <w:i/>
          <w:iCs/>
          <w:sz w:val="21"/>
          <w:szCs w:val="21"/>
          <w:lang w:eastAsia="zh-CN"/>
        </w:rPr>
        <w:t>, s</w:t>
      </w:r>
      <w:r>
        <w:rPr>
          <w:rStyle w:val="22"/>
          <w:rFonts w:eastAsia="Malgun Gothic"/>
          <w:i/>
          <w:iCs/>
          <w:sz w:val="21"/>
          <w:szCs w:val="21"/>
          <w:lang w:eastAsia="ko-KR"/>
        </w:rPr>
        <w:t>upport</w:t>
      </w:r>
      <w:r>
        <w:rPr>
          <w:rStyle w:val="22"/>
          <w:rFonts w:hint="eastAsia" w:eastAsiaTheme="minorEastAsia"/>
          <w:i/>
          <w:iCs/>
          <w:sz w:val="21"/>
          <w:szCs w:val="21"/>
          <w:lang w:eastAsia="zh-CN"/>
        </w:rPr>
        <w:t xml:space="preserve"> </w:t>
      </w:r>
      <w:r>
        <w:rPr>
          <w:rStyle w:val="22"/>
          <w:rFonts w:eastAsia="Malgun Gothic"/>
          <w:i/>
          <w:iCs/>
          <w:sz w:val="21"/>
          <w:szCs w:val="21"/>
          <w:lang w:eastAsia="ko-KR"/>
        </w:rPr>
        <w:t>Alt 2 (new UCI type): Introduce RRC parameter, e.g., firstPUCCHResourceConfig-ModeB-UEIBR, for the periodic PUCCH resource configuration.</w:t>
      </w:r>
    </w:p>
    <w:p>
      <w:pPr>
        <w:snapToGrid w:val="0"/>
        <w:spacing w:before="120" w:beforeLines="50" w:line="288" w:lineRule="auto"/>
        <w:jc w:val="both"/>
        <w:rPr>
          <w:rStyle w:val="22"/>
          <w:rFonts w:eastAsia="Malgun Gothic"/>
          <w:i/>
          <w:iCs/>
          <w:lang w:val="en-US"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4.2 Details on</w:t>
      </w:r>
      <w:r>
        <w:rPr>
          <w:rFonts w:ascii="Arial" w:hAnsi="Arial" w:cs="Arial"/>
          <w:b/>
          <w:sz w:val="24"/>
          <w:szCs w:val="24"/>
          <w:lang w:eastAsia="zh-CN"/>
        </w:rPr>
        <w:t xml:space="preserve"> Step-2&amp;3 in Mode-A</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RAN1#11</w:t>
      </w:r>
      <w:r>
        <w:rPr>
          <w:rFonts w:hint="eastAsia"/>
          <w:sz w:val="21"/>
          <w:szCs w:val="21"/>
          <w:lang w:val="en-US" w:eastAsia="zh-CN"/>
        </w:rPr>
        <w:t>8-bis</w:t>
      </w:r>
      <w:r>
        <w:rPr>
          <w:rFonts w:hint="eastAsia"/>
          <w:sz w:val="21"/>
          <w:szCs w:val="21"/>
          <w:lang w:eastAsia="zh-CN"/>
        </w:rPr>
        <w:t xml:space="preserve"> meeting [2], the agreement related to </w:t>
      </w:r>
      <w:r>
        <w:rPr>
          <w:rFonts w:eastAsia="宋体"/>
          <w:color w:val="000000"/>
          <w:sz w:val="21"/>
          <w:szCs w:val="21"/>
        </w:rPr>
        <w:t>triggering procedure in Step-2 of Mode-A</w:t>
      </w:r>
      <w:r>
        <w:rPr>
          <w:rFonts w:hint="eastAsia" w:eastAsia="宋体"/>
          <w:color w:val="000000"/>
          <w:sz w:val="21"/>
          <w:szCs w:val="21"/>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jc w:val="both"/>
              <w:rPr>
                <w:rFonts w:eastAsiaTheme="minorEastAsia"/>
                <w:b/>
                <w:lang w:eastAsia="ko-KR"/>
              </w:rPr>
            </w:pPr>
            <w:r>
              <w:rPr>
                <w:rFonts w:eastAsiaTheme="minorEastAsia"/>
                <w:b/>
                <w:highlight w:val="green"/>
                <w:lang w:eastAsia="ko-KR"/>
              </w:rPr>
              <w:t>Agreement</w:t>
            </w:r>
          </w:p>
          <w:p>
            <w:pPr>
              <w:shd w:val="clear" w:color="auto" w:fill="FFFFFF"/>
              <w:snapToGrid w:val="0"/>
            </w:pPr>
            <w:r>
              <w:t>On beam report transmission procedure for UE-initiated/event-driven beam reporting, regarding the triggering procedure in Step-2 of Mode-A</w:t>
            </w:r>
          </w:p>
          <w:p>
            <w:pPr>
              <w:pStyle w:val="37"/>
              <w:numPr>
                <w:ilvl w:val="0"/>
                <w:numId w:val="12"/>
              </w:numPr>
              <w:shd w:val="clear" w:color="auto" w:fill="FFFFFF"/>
              <w:snapToGrid w:val="0"/>
              <w:spacing w:after="160" w:line="259" w:lineRule="auto"/>
              <w:ind w:firstLine="400"/>
              <w:contextualSpacing/>
              <w:rPr>
                <w:rFonts w:ascii="Times New Roman" w:hAnsi="Times New Roman"/>
                <w:sz w:val="20"/>
                <w:szCs w:val="20"/>
              </w:rPr>
            </w:pPr>
            <w:r>
              <w:rPr>
                <w:rFonts w:ascii="Times New Roman" w:hAnsi="Times New Roman"/>
                <w:sz w:val="20"/>
                <w:szCs w:val="20"/>
              </w:rPr>
              <w:t>Reuse CSI request field in DCI format 0_1/0_2 to trigger the transmission of the UEI beam report</w:t>
            </w:r>
          </w:p>
          <w:p>
            <w:pPr>
              <w:pStyle w:val="37"/>
              <w:numPr>
                <w:ilvl w:val="1"/>
                <w:numId w:val="12"/>
              </w:numPr>
              <w:shd w:val="clear" w:color="auto" w:fill="FFFFFF"/>
              <w:snapToGrid w:val="0"/>
              <w:spacing w:line="256" w:lineRule="auto"/>
              <w:ind w:firstLine="400"/>
              <w:rPr>
                <w:rFonts w:ascii="Times New Roman" w:hAnsi="Times New Roman"/>
                <w:sz w:val="20"/>
                <w:szCs w:val="20"/>
              </w:rPr>
            </w:pPr>
            <w:r>
              <w:rPr>
                <w:rFonts w:ascii="Times New Roman" w:hAnsi="Times New Roman"/>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pPr>
              <w:pStyle w:val="37"/>
              <w:numPr>
                <w:ilvl w:val="1"/>
                <w:numId w:val="12"/>
              </w:numPr>
              <w:shd w:val="clear" w:color="auto" w:fill="FFFFFF"/>
              <w:snapToGrid w:val="0"/>
              <w:spacing w:line="259" w:lineRule="auto"/>
              <w:ind w:firstLine="400"/>
              <w:rPr>
                <w:rFonts w:ascii="Times New Roman" w:hAnsi="Times New Roman"/>
                <w:sz w:val="20"/>
                <w:szCs w:val="20"/>
              </w:rPr>
            </w:pPr>
            <w:r>
              <w:rPr>
                <w:rFonts w:ascii="Times New Roman" w:hAnsi="Times New Roman"/>
                <w:sz w:val="20"/>
                <w:szCs w:val="20"/>
              </w:rPr>
              <w:t>FFS: DCI format 0_3</w:t>
            </w:r>
          </w:p>
          <w:p>
            <w:pPr>
              <w:pStyle w:val="37"/>
              <w:numPr>
                <w:ilvl w:val="0"/>
                <w:numId w:val="12"/>
              </w:numPr>
              <w:shd w:val="clear" w:color="auto" w:fill="FFFFFF"/>
              <w:snapToGrid w:val="0"/>
              <w:spacing w:line="259" w:lineRule="auto"/>
              <w:ind w:firstLine="400"/>
              <w:rPr>
                <w:rFonts w:hint="eastAsia" w:ascii="Times New Roman" w:hAnsi="Times New Roman"/>
                <w:sz w:val="20"/>
                <w:szCs w:val="20"/>
              </w:rPr>
            </w:pPr>
            <w:r>
              <w:rPr>
                <w:rFonts w:ascii="Times New Roman" w:hAnsi="Times New Roman"/>
                <w:sz w:val="20"/>
                <w:szCs w:val="20"/>
              </w:rPr>
              <w:t>FFS: Whether a CSI trigger state should be dedicated to UE-initiated/event-driven beam reporting, i.e., not associated with legacy AP-CSI report configuration.</w:t>
            </w:r>
          </w:p>
        </w:tc>
      </w:tr>
    </w:tbl>
    <w:p>
      <w:pPr>
        <w:snapToGrid w:val="0"/>
        <w:spacing w:before="120" w:beforeLines="50" w:line="288" w:lineRule="auto"/>
        <w:jc w:val="both"/>
        <w:rPr>
          <w:sz w:val="21"/>
          <w:szCs w:val="21"/>
          <w:lang w:val="en-US" w:eastAsia="zh-CN"/>
        </w:rPr>
      </w:pPr>
      <w:r>
        <w:rPr>
          <w:rFonts w:hint="eastAsia"/>
          <w:sz w:val="21"/>
          <w:szCs w:val="21"/>
          <w:lang w:val="en-US" w:eastAsia="zh-CN"/>
        </w:rPr>
        <w:t xml:space="preserve">In RAN1#118-bis meeting, reuse CSI request field in DCI format 0_1/0_2 to trigger the transmission of the UEI beam report has been agreed. </w:t>
      </w:r>
      <w:r>
        <w:rPr>
          <w:sz w:val="21"/>
          <w:szCs w:val="21"/>
          <w:lang w:val="en-US" w:eastAsia="zh-CN"/>
        </w:rPr>
        <w:t>Whether a CSI trigger state should be dedicated to UE-initiated/event-driven beam reporting</w:t>
      </w:r>
      <w:r>
        <w:rPr>
          <w:rFonts w:hint="eastAsia"/>
          <w:sz w:val="21"/>
          <w:szCs w:val="21"/>
          <w:lang w:val="en-US" w:eastAsia="zh-CN"/>
        </w:rPr>
        <w:t xml:space="preserve"> is left for further discussion. In legacy, CSI trigger state can be associated with multiple CSI reports, and multiple CSI reports can be carried on a single PUSCH for transmission. Now, it is extended to carry both the CSI report for UE-initiated/event-driven beam reporting and other </w:t>
      </w:r>
      <w:r>
        <w:rPr>
          <w:sz w:val="21"/>
          <w:szCs w:val="21"/>
          <w:lang w:val="en-US" w:eastAsia="zh-CN"/>
        </w:rPr>
        <w:t>AP-</w:t>
      </w:r>
      <w:r>
        <w:rPr>
          <w:rFonts w:hint="eastAsia"/>
          <w:sz w:val="21"/>
          <w:szCs w:val="21"/>
          <w:lang w:val="en-US" w:eastAsia="zh-CN"/>
        </w:rPr>
        <w:t xml:space="preserve">CSI reports on the same PUSCH. Since it is a PUSCH scheduled by gNB, it can ensure sufficient resource to satisfy the payload requirement. If a CSI trigger state is separately designated for UE-initiated/event-driven beam reporting, it would affect the flexibility of other </w:t>
      </w:r>
      <w:r>
        <w:rPr>
          <w:sz w:val="21"/>
          <w:szCs w:val="21"/>
          <w:lang w:val="en-US" w:eastAsia="zh-CN"/>
        </w:rPr>
        <w:t>AP-</w:t>
      </w:r>
      <w:r>
        <w:rPr>
          <w:rFonts w:hint="eastAsia"/>
          <w:sz w:val="21"/>
          <w:szCs w:val="21"/>
          <w:lang w:val="en-US" w:eastAsia="zh-CN"/>
        </w:rPr>
        <w:t xml:space="preserve">CSI reports. Therefore, a CSI trigger state should not be dedicated to UE-initiated/event-driven beam reporting, and a CSI trigger state can associate with legacy </w:t>
      </w:r>
      <w:r>
        <w:rPr>
          <w:sz w:val="21"/>
          <w:szCs w:val="21"/>
          <w:lang w:val="en-US" w:eastAsia="zh-CN"/>
        </w:rPr>
        <w:t>AP-</w:t>
      </w:r>
      <w:r>
        <w:rPr>
          <w:rFonts w:hint="eastAsia"/>
          <w:sz w:val="21"/>
          <w:szCs w:val="21"/>
          <w:lang w:val="en-US" w:eastAsia="zh-CN"/>
        </w:rPr>
        <w:t>CSI report configuration.</w:t>
      </w:r>
    </w:p>
    <w:p>
      <w:pPr>
        <w:snapToGrid w:val="0"/>
        <w:spacing w:before="120" w:beforeLines="50" w:line="288" w:lineRule="auto"/>
        <w:jc w:val="both"/>
        <w:rPr>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7</w:t>
      </w:r>
      <w:r>
        <w:rPr>
          <w:b/>
          <w:bCs/>
          <w:i/>
          <w:iCs/>
          <w:sz w:val="21"/>
          <w:szCs w:val="21"/>
          <w:lang w:eastAsia="zh-CN"/>
        </w:rPr>
        <w:t xml:space="preserve">: </w:t>
      </w:r>
      <w:r>
        <w:rPr>
          <w:rFonts w:hint="eastAsia"/>
          <w:b/>
          <w:bCs/>
          <w:i/>
          <w:iCs/>
          <w:sz w:val="21"/>
          <w:szCs w:val="21"/>
          <w:lang w:val="en-US" w:eastAsia="zh-CN"/>
        </w:rPr>
        <w:t xml:space="preserve">A CSI trigger state should not be dedicated to UE-initiated/event-driven beam reporting, and </w:t>
      </w:r>
      <w:r>
        <w:rPr>
          <w:b/>
          <w:bCs/>
          <w:i/>
          <w:iCs/>
          <w:sz w:val="21"/>
          <w:szCs w:val="21"/>
          <w:lang w:eastAsia="zh-CN"/>
        </w:rPr>
        <w:t>a CSI trigger state</w:t>
      </w:r>
      <w:r>
        <w:rPr>
          <w:rFonts w:hint="eastAsia"/>
          <w:b/>
          <w:bCs/>
          <w:i/>
          <w:iCs/>
          <w:sz w:val="21"/>
          <w:szCs w:val="21"/>
          <w:lang w:val="en-US" w:eastAsia="zh-CN"/>
        </w:rPr>
        <w:t xml:space="preserve"> can </w:t>
      </w:r>
      <w:r>
        <w:rPr>
          <w:b/>
          <w:bCs/>
          <w:i/>
          <w:iCs/>
          <w:sz w:val="21"/>
          <w:szCs w:val="21"/>
          <w:lang w:val="en-US" w:eastAsia="zh-CN"/>
        </w:rPr>
        <w:t>associate</w:t>
      </w:r>
      <w:r>
        <w:rPr>
          <w:rFonts w:hint="eastAsia"/>
          <w:b/>
          <w:bCs/>
          <w:i/>
          <w:iCs/>
          <w:sz w:val="21"/>
          <w:szCs w:val="21"/>
          <w:lang w:val="en-US" w:eastAsia="zh-CN"/>
        </w:rPr>
        <w:t xml:space="preserve"> with legacy AP-CSI report configuration.</w:t>
      </w:r>
    </w:p>
    <w:p>
      <w:pPr>
        <w:snapToGrid w:val="0"/>
        <w:spacing w:before="120" w:beforeLines="50" w:line="288" w:lineRule="auto"/>
        <w:jc w:val="both"/>
        <w:rPr>
          <w:rFonts w:hint="eastAsia"/>
          <w:sz w:val="21"/>
          <w:szCs w:val="21"/>
          <w:lang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w:t>
      </w:r>
      <w:r>
        <w:rPr>
          <w:rFonts w:hint="eastAsia" w:ascii="Arial" w:hAnsi="Arial" w:cs="Arial"/>
          <w:b/>
          <w:sz w:val="24"/>
          <w:szCs w:val="24"/>
          <w:lang w:val="en-US" w:eastAsia="zh-CN"/>
        </w:rPr>
        <w:t>3</w:t>
      </w:r>
      <w:r>
        <w:rPr>
          <w:rFonts w:hint="eastAsia" w:ascii="Arial" w:hAnsi="Arial" w:cs="Arial"/>
          <w:b/>
          <w:sz w:val="24"/>
          <w:szCs w:val="24"/>
          <w:lang w:eastAsia="zh-CN"/>
        </w:rPr>
        <w:t xml:space="preserve"> Cross-carrier UE initiated</w:t>
      </w:r>
      <w:r>
        <w:rPr>
          <w:rFonts w:ascii="Arial" w:hAnsi="Arial" w:cs="Arial"/>
          <w:b/>
          <w:sz w:val="24"/>
          <w:szCs w:val="24"/>
          <w:lang w:eastAsia="zh-CN"/>
        </w:rPr>
        <w:t>/event-driven</w:t>
      </w:r>
      <w:r>
        <w:rPr>
          <w:rFonts w:hint="eastAsia" w:ascii="Arial" w:hAnsi="Arial" w:cs="Arial"/>
          <w:b/>
          <w:sz w:val="24"/>
          <w:szCs w:val="24"/>
          <w:lang w:eastAsia="zh-CN"/>
        </w:rPr>
        <w:t xml:space="preserve"> beam report</w:t>
      </w:r>
    </w:p>
    <w:p>
      <w:pPr>
        <w:snapToGrid w:val="0"/>
        <w:spacing w:before="120" w:beforeLines="50" w:line="288" w:lineRule="auto"/>
        <w:rPr>
          <w:rFonts w:eastAsia="宋体"/>
          <w:kern w:val="2"/>
          <w:sz w:val="21"/>
          <w:szCs w:val="21"/>
          <w:lang w:val="en-US" w:eastAsia="zh-CN"/>
        </w:rPr>
      </w:pPr>
      <w:r>
        <w:rPr>
          <w:rFonts w:hint="eastAsia"/>
          <w:sz w:val="21"/>
          <w:szCs w:val="21"/>
          <w:lang w:eastAsia="zh-CN"/>
        </w:rPr>
        <w:t>In RAN1#11</w:t>
      </w:r>
      <w:r>
        <w:rPr>
          <w:rFonts w:hint="eastAsia"/>
          <w:sz w:val="21"/>
          <w:szCs w:val="21"/>
          <w:lang w:val="en-US" w:eastAsia="zh-CN"/>
        </w:rPr>
        <w:t>8-bis</w:t>
      </w:r>
      <w:r>
        <w:rPr>
          <w:rFonts w:hint="eastAsia"/>
          <w:sz w:val="21"/>
          <w:szCs w:val="21"/>
          <w:lang w:eastAsia="zh-CN"/>
        </w:rPr>
        <w:t xml:space="preserve"> meeting [2], the agreements related to </w:t>
      </w:r>
      <w:r>
        <w:rPr>
          <w:rFonts w:eastAsiaTheme="minorEastAsia"/>
          <w:sz w:val="21"/>
          <w:szCs w:val="21"/>
          <w:lang w:eastAsia="zh-TW"/>
        </w:rPr>
        <w:t>cross-carrier beam reporting</w:t>
      </w:r>
      <w:r>
        <w:rPr>
          <w:rFonts w:hint="eastAsia" w:eastAsia="宋体"/>
          <w:color w:val="000000"/>
          <w:sz w:val="21"/>
          <w:szCs w:val="21"/>
          <w:lang w:val="en-US" w:eastAsia="zh-CN"/>
        </w:rPr>
        <w:t xml:space="preserve"> </w:t>
      </w:r>
      <w:r>
        <w:rPr>
          <w:rFonts w:hint="eastAsia"/>
          <w:sz w:val="21"/>
          <w:szCs w:val="21"/>
          <w:lang w:eastAsia="zh-CN"/>
        </w:rPr>
        <w:t>are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jc w:val="both"/>
              <w:rPr>
                <w:rFonts w:eastAsiaTheme="minorEastAsia"/>
                <w:b/>
                <w:lang w:eastAsia="ko-KR"/>
              </w:rPr>
            </w:pPr>
            <w:r>
              <w:rPr>
                <w:rFonts w:eastAsiaTheme="minorEastAsia"/>
                <w:b/>
                <w:highlight w:val="green"/>
                <w:lang w:eastAsia="ko-KR"/>
              </w:rPr>
              <w:t>Agreement</w:t>
            </w:r>
          </w:p>
          <w:p>
            <w:pPr>
              <w:shd w:val="clear" w:color="auto" w:fill="FFFFFF"/>
              <w:adjustRightInd w:val="0"/>
              <w:snapToGrid w:val="0"/>
              <w:jc w:val="both"/>
              <w:rPr>
                <w:rFonts w:eastAsia="宋体"/>
                <w:color w:val="000000" w:themeColor="text1"/>
                <w14:textFill>
                  <w14:solidFill>
                    <w14:schemeClr w14:val="tx1"/>
                  </w14:solidFill>
                </w14:textFill>
              </w:rPr>
            </w:pPr>
            <w:r>
              <w:rPr>
                <w:rFonts w:eastAsia="宋体"/>
              </w:rPr>
              <w:t xml:space="preserve">On cross-CC beam report transmission procedure for UE-initiated/event-driven beam reporting, regarding Event-2, for both Mode-A and Mode-B, the first PUCCH and the second </w:t>
            </w:r>
            <w:r>
              <w:rPr>
                <w:rFonts w:eastAsia="宋体"/>
                <w:color w:val="000000" w:themeColor="text1"/>
                <w14:textFill>
                  <w14:solidFill>
                    <w14:schemeClr w14:val="tx1"/>
                  </w14:solidFill>
                </w14:textFill>
              </w:rPr>
              <w:t xml:space="preserve">PUSCH can be from the same or different CC(s) </w:t>
            </w:r>
          </w:p>
          <w:p>
            <w:pPr>
              <w:pStyle w:val="37"/>
              <w:numPr>
                <w:ilvl w:val="0"/>
                <w:numId w:val="11"/>
              </w:numPr>
              <w:shd w:val="clear" w:color="auto" w:fill="FFFFFF"/>
              <w:adjustRightInd w:val="0"/>
              <w:snapToGrid w:val="0"/>
              <w:spacing w:line="256" w:lineRule="auto"/>
              <w:ind w:firstLine="400"/>
              <w:rPr>
                <w:rFonts w:ascii="Times New Roman" w:hAnsi="Times New Roman"/>
                <w:sz w:val="20"/>
                <w:szCs w:val="20"/>
              </w:rPr>
            </w:pPr>
            <w:r>
              <w:rPr>
                <w:rFonts w:ascii="Times New Roman" w:hAnsi="Times New Roman"/>
                <w:color w:val="000000" w:themeColor="text1"/>
                <w:sz w:val="20"/>
                <w:szCs w:val="20"/>
                <w14:textFill>
                  <w14:solidFill>
                    <w14:schemeClr w14:val="tx1"/>
                  </w14:solidFill>
                </w14:textFill>
              </w:rPr>
              <w:t>FFS: whether the first PUCCH and the second PUSCH should be from the same PUCCH group</w:t>
            </w:r>
          </w:p>
          <w:p>
            <w:pPr>
              <w:pStyle w:val="37"/>
              <w:numPr>
                <w:ilvl w:val="0"/>
                <w:numId w:val="11"/>
              </w:numPr>
              <w:shd w:val="clear" w:color="auto" w:fill="FFFFFF"/>
              <w:adjustRightInd w:val="0"/>
              <w:snapToGrid w:val="0"/>
              <w:spacing w:line="256" w:lineRule="auto"/>
              <w:ind w:firstLine="400"/>
              <w:rPr>
                <w:rFonts w:ascii="Times New Roman" w:hAnsi="Times New Roman"/>
                <w:sz w:val="20"/>
                <w:szCs w:val="20"/>
              </w:rPr>
            </w:pPr>
            <w:r>
              <w:rPr>
                <w:rFonts w:ascii="Times New Roman" w:hAnsi="Times New Roman"/>
                <w:color w:val="000000" w:themeColor="text1"/>
                <w:sz w:val="20"/>
                <w:szCs w:val="20"/>
                <w14:textFill>
                  <w14:solidFill>
                    <w14:schemeClr w14:val="tx1"/>
                  </w14:solidFill>
                </w14:textFill>
              </w:rPr>
              <w:t>The first PUCCH and the second PUSCH should be in the same CG</w:t>
            </w:r>
          </w:p>
          <w:p>
            <w:pPr>
              <w:pStyle w:val="37"/>
              <w:numPr>
                <w:ilvl w:val="255"/>
                <w:numId w:val="0"/>
              </w:numPr>
              <w:shd w:val="clear" w:color="auto" w:fill="FFFFFF"/>
              <w:adjustRightInd w:val="0"/>
              <w:snapToGrid w:val="0"/>
              <w:ind w:firstLine="2200" w:firstLineChars="11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FFS: Different CG</w:t>
            </w:r>
          </w:p>
          <w:p>
            <w:pPr>
              <w:pStyle w:val="37"/>
              <w:numPr>
                <w:ilvl w:val="255"/>
                <w:numId w:val="0"/>
              </w:numPr>
              <w:shd w:val="clear" w:color="auto" w:fill="FFFFFF"/>
              <w:adjustRightInd w:val="0"/>
              <w:snapToGrid w:val="0"/>
              <w:rPr>
                <w:rFonts w:ascii="Times New Roman" w:hAnsi="Times New Roman"/>
                <w:color w:val="000000" w:themeColor="text1"/>
                <w:sz w:val="20"/>
                <w:szCs w:val="20"/>
                <w14:textFill>
                  <w14:solidFill>
                    <w14:schemeClr w14:val="tx1"/>
                  </w14:solidFill>
                </w14:textFill>
              </w:rPr>
            </w:pPr>
          </w:p>
          <w:p>
            <w:pPr>
              <w:snapToGrid w:val="0"/>
              <w:jc w:val="both"/>
              <w:rPr>
                <w:rFonts w:eastAsiaTheme="minorEastAsia"/>
                <w:b/>
                <w:lang w:eastAsia="ko-KR"/>
              </w:rPr>
            </w:pPr>
            <w:r>
              <w:rPr>
                <w:rFonts w:eastAsiaTheme="minorEastAsia"/>
                <w:b/>
                <w:highlight w:val="green"/>
                <w:lang w:eastAsia="ko-KR"/>
              </w:rPr>
              <w:t>Agreement</w:t>
            </w:r>
          </w:p>
          <w:p>
            <w:pPr>
              <w:contextualSpacing/>
              <w:jc w:val="both"/>
              <w:rPr>
                <w:lang w:eastAsia="zh-CN"/>
              </w:rPr>
            </w:pPr>
            <w:r>
              <w:rPr>
                <w:lang w:eastAsia="zh-CN"/>
              </w:rPr>
              <w:t xml:space="preserve">On cross-CC beam report transmission procedure for UE-initiated/event-driven beam reporting, regarding Event-2, the following is supported </w:t>
            </w:r>
          </w:p>
          <w:p>
            <w:pPr>
              <w:pStyle w:val="37"/>
              <w:numPr>
                <w:ilvl w:val="0"/>
                <w:numId w:val="11"/>
              </w:numPr>
              <w:adjustRightInd w:val="0"/>
              <w:snapToGrid w:val="0"/>
              <w:spacing w:line="257" w:lineRule="auto"/>
              <w:ind w:firstLine="400"/>
              <w:rPr>
                <w:rFonts w:ascii="Times New Roman" w:hAnsi="Times New Roman"/>
                <w:sz w:val="20"/>
                <w:szCs w:val="20"/>
              </w:rPr>
            </w:pPr>
            <w:r>
              <w:rPr>
                <w:rFonts w:ascii="Times New Roman" w:hAnsi="Times New Roman"/>
                <w:sz w:val="20"/>
                <w:szCs w:val="20"/>
              </w:rPr>
              <w:t xml:space="preserve">For new beam measurement, in a CSI report configuration, configure legacy RRC parameter </w:t>
            </w:r>
            <w:r>
              <w:rPr>
                <w:rFonts w:ascii="Times New Roman" w:hAnsi="Times New Roman"/>
                <w:i/>
                <w:iCs/>
                <w:sz w:val="20"/>
                <w:szCs w:val="20"/>
              </w:rPr>
              <w:t>carrier</w:t>
            </w:r>
            <w:r>
              <w:rPr>
                <w:rFonts w:ascii="Times New Roman" w:hAnsi="Times New Roman"/>
                <w:sz w:val="20"/>
                <w:szCs w:val="20"/>
              </w:rPr>
              <w:t xml:space="preserve"> that indicates the CC that the RS resource set associated with the CSI </w:t>
            </w:r>
            <w:r>
              <w:rPr>
                <w:rFonts w:ascii="Times New Roman" w:hAnsi="Times New Roman"/>
                <w:kern w:val="0"/>
                <w:sz w:val="20"/>
                <w:szCs w:val="20"/>
                <w:lang w:val="en-GB"/>
              </w:rPr>
              <w:t>reporting configuration can be found</w:t>
            </w:r>
          </w:p>
          <w:p>
            <w:pPr>
              <w:pStyle w:val="37"/>
              <w:numPr>
                <w:ilvl w:val="0"/>
                <w:numId w:val="11"/>
              </w:numPr>
              <w:overflowPunct w:val="0"/>
              <w:autoSpaceDE w:val="0"/>
              <w:autoSpaceDN w:val="0"/>
              <w:adjustRightInd w:val="0"/>
              <w:snapToGrid w:val="0"/>
              <w:spacing w:line="257" w:lineRule="auto"/>
              <w:ind w:left="950" w:firstLine="400"/>
              <w:textAlignment w:val="baseline"/>
              <w:rPr>
                <w:rFonts w:ascii="Times New Roman" w:hAnsi="Times New Roman"/>
                <w:sz w:val="20"/>
                <w:szCs w:val="20"/>
              </w:rPr>
            </w:pPr>
            <w:r>
              <w:rPr>
                <w:rFonts w:ascii="Times New Roman" w:hAnsi="Times New Roman"/>
                <w:sz w:val="20"/>
                <w:szCs w:val="20"/>
              </w:rPr>
              <w:t xml:space="preserve">FFS: Whether the current beam RS and new beam RS(s) can be in the same CC or in different CCs, regarding cross-CC beam measurement. </w:t>
            </w:r>
          </w:p>
          <w:p>
            <w:pPr>
              <w:contextualSpacing/>
              <w:jc w:val="both"/>
              <w:rPr>
                <w:rFonts w:hint="eastAsia"/>
                <w:b/>
                <w:bCs/>
                <w:color w:val="0000FF"/>
              </w:rPr>
            </w:pPr>
            <w:r>
              <w:rPr>
                <w:lang w:eastAsia="zh-CN"/>
              </w:rPr>
              <w:t>FFS: Whether the indicated TCI state and new beam RS(s) can be in the same CC or in different CCs, regarding cross-CC beam measurement.</w:t>
            </w:r>
          </w:p>
        </w:tc>
      </w:tr>
    </w:tbl>
    <w:p>
      <w:pPr>
        <w:snapToGrid w:val="0"/>
        <w:spacing w:before="120" w:beforeLines="50" w:line="288" w:lineRule="auto"/>
        <w:jc w:val="both"/>
        <w:rPr>
          <w:sz w:val="21"/>
          <w:szCs w:val="21"/>
          <w:lang w:val="en-US" w:eastAsia="zh-CN"/>
        </w:rPr>
      </w:pPr>
      <w:r>
        <w:rPr>
          <w:rFonts w:hint="eastAsia"/>
          <w:sz w:val="21"/>
          <w:szCs w:val="21"/>
          <w:lang w:val="en-US" w:eastAsia="zh-CN"/>
        </w:rPr>
        <w:t>In RAN1#118-bis meeting, the first PUCCH and the second PUSCH can be from the same or different CC(s) and the first PUCCH and the second PUSCH should be in the same CG has been agreed. Whether the first PUCCH and the second PUSCH should be from the same PUCCH group needs further discussion. In the scenario of CA with non-collocated TRPs, it is common practice to assign SCells from one TRP to one PUCCH group and SCells from another TRP to a</w:t>
      </w:r>
      <w:r>
        <w:rPr>
          <w:sz w:val="21"/>
          <w:szCs w:val="21"/>
          <w:lang w:val="en-US" w:eastAsia="zh-CN"/>
        </w:rPr>
        <w:t>nother</w:t>
      </w:r>
      <w:r>
        <w:rPr>
          <w:rFonts w:hint="eastAsia"/>
          <w:sz w:val="21"/>
          <w:szCs w:val="21"/>
          <w:lang w:val="en-US" w:eastAsia="zh-CN"/>
        </w:rPr>
        <w:t xml:space="preserve"> PUCCH group. So, </w:t>
      </w:r>
      <w:r>
        <w:rPr>
          <w:sz w:val="21"/>
          <w:szCs w:val="21"/>
          <w:lang w:val="en-US" w:eastAsia="zh-CN"/>
        </w:rPr>
        <w:t xml:space="preserve">the first PUCCH and the second PUSCH from </w:t>
      </w:r>
      <w:r>
        <w:rPr>
          <w:rFonts w:hint="eastAsia"/>
          <w:sz w:val="21"/>
          <w:szCs w:val="21"/>
          <w:lang w:val="en-US" w:eastAsia="zh-CN"/>
        </w:rPr>
        <w:t>different</w:t>
      </w:r>
      <w:r>
        <w:rPr>
          <w:sz w:val="21"/>
          <w:szCs w:val="21"/>
          <w:lang w:val="en-US" w:eastAsia="zh-CN"/>
        </w:rPr>
        <w:t xml:space="preserve"> PUCCH group</w:t>
      </w:r>
      <w:r>
        <w:rPr>
          <w:rFonts w:hint="eastAsia"/>
          <w:sz w:val="21"/>
          <w:szCs w:val="21"/>
          <w:lang w:val="en-US" w:eastAsia="zh-CN"/>
        </w:rPr>
        <w:t xml:space="preserve">s will increase the interaction between TRPs. Additionally, the TAs from the two TRPs may be different, which may cause more issues for UL </w:t>
      </w:r>
      <w:r>
        <w:rPr>
          <w:sz w:val="21"/>
          <w:szCs w:val="21"/>
          <w:lang w:val="en-US" w:eastAsia="zh-CN"/>
        </w:rPr>
        <w:t>transmission</w:t>
      </w:r>
      <w:r>
        <w:rPr>
          <w:rFonts w:hint="eastAsia"/>
          <w:sz w:val="21"/>
          <w:szCs w:val="21"/>
          <w:lang w:val="en-US" w:eastAsia="zh-CN"/>
        </w:rPr>
        <w:t>. Therefore, the first PUCCH and the second PUSCH should be from the same PUCCH group, which also results in a more straightforward and clear design.</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8</w:t>
      </w:r>
      <w:r>
        <w:rPr>
          <w:b/>
          <w:bCs/>
          <w:i/>
          <w:iCs/>
          <w:sz w:val="21"/>
          <w:szCs w:val="21"/>
          <w:lang w:eastAsia="zh-CN"/>
        </w:rPr>
        <w:t>:</w:t>
      </w:r>
      <w:r>
        <w:rPr>
          <w:rFonts w:hint="eastAsia"/>
          <w:b/>
          <w:bCs/>
          <w:i/>
          <w:iCs/>
          <w:sz w:val="21"/>
          <w:szCs w:val="21"/>
          <w:lang w:val="en-US" w:eastAsia="zh-CN"/>
        </w:rPr>
        <w:t xml:space="preserve"> T</w:t>
      </w:r>
      <w:r>
        <w:rPr>
          <w:b/>
          <w:bCs/>
          <w:i/>
          <w:iCs/>
          <w:sz w:val="21"/>
          <w:szCs w:val="21"/>
          <w:lang w:eastAsia="zh-CN"/>
        </w:rPr>
        <w:t>he first PUCCH and the second PUSCH should be from the same PUCCH group</w:t>
      </w:r>
      <w:r>
        <w:rPr>
          <w:rFonts w:hint="eastAsia"/>
          <w:b/>
          <w:bCs/>
          <w:i/>
          <w:iCs/>
          <w:sz w:val="21"/>
          <w:szCs w:val="21"/>
          <w:lang w:val="en-US" w:eastAsia="zh-CN"/>
        </w:rPr>
        <w:t>.</w:t>
      </w:r>
    </w:p>
    <w:p>
      <w:pPr>
        <w:snapToGrid w:val="0"/>
        <w:spacing w:before="120" w:beforeLines="50" w:line="288" w:lineRule="auto"/>
        <w:jc w:val="both"/>
        <w:rPr>
          <w:sz w:val="21"/>
          <w:szCs w:val="21"/>
          <w:lang w:val="en-US" w:eastAsia="zh-CN"/>
        </w:rPr>
      </w:pPr>
    </w:p>
    <w:p>
      <w:pPr>
        <w:snapToGrid w:val="0"/>
        <w:spacing w:before="120" w:beforeLines="50" w:line="288" w:lineRule="auto"/>
        <w:jc w:val="both"/>
        <w:rPr>
          <w:rFonts w:hint="eastAsia"/>
          <w:sz w:val="21"/>
          <w:szCs w:val="21"/>
          <w:lang w:val="en-US" w:eastAsia="zh-CN"/>
        </w:rPr>
      </w:pPr>
      <w:r>
        <w:rPr>
          <w:rFonts w:hint="eastAsia"/>
          <w:sz w:val="21"/>
          <w:szCs w:val="21"/>
          <w:lang w:val="en-US" w:eastAsia="zh-CN"/>
        </w:rPr>
        <w:t xml:space="preserve">In RAN1#118-bis meeting, for new beam measurement, in a CSI report configuration, configure legacy RRC parameter </w:t>
      </w:r>
      <w:r>
        <w:rPr>
          <w:rFonts w:hint="eastAsia"/>
          <w:i/>
          <w:iCs/>
          <w:sz w:val="21"/>
          <w:szCs w:val="21"/>
          <w:lang w:val="en-US" w:eastAsia="zh-CN"/>
        </w:rPr>
        <w:t>carrier</w:t>
      </w:r>
      <w:r>
        <w:rPr>
          <w:rFonts w:hint="eastAsia"/>
          <w:sz w:val="21"/>
          <w:szCs w:val="21"/>
          <w:lang w:val="en-US" w:eastAsia="zh-CN"/>
        </w:rPr>
        <w:t xml:space="preserve"> that indicates the CC that the RS resource set associated with the CSI reporting configuration has been agreed. Whether the indicated TCI state and new beam RS(s) can be in the same CC or in different CCs and </w:t>
      </w:r>
      <w:r>
        <w:rPr>
          <w:rFonts w:hint="eastAsia"/>
          <w:sz w:val="21"/>
          <w:szCs w:val="21"/>
          <w:lang w:eastAsia="zh-CN"/>
        </w:rPr>
        <w:t>w</w:t>
      </w:r>
      <w:r>
        <w:rPr>
          <w:sz w:val="21"/>
          <w:szCs w:val="21"/>
          <w:lang w:eastAsia="zh-CN"/>
        </w:rPr>
        <w:t>hether the indicated TCI state and new beam RS(s) can be in the same CC or in different CCs</w:t>
      </w:r>
      <w:r>
        <w:rPr>
          <w:rFonts w:hint="eastAsia"/>
          <w:sz w:val="21"/>
          <w:szCs w:val="21"/>
          <w:lang w:val="en-US" w:eastAsia="zh-CN"/>
        </w:rPr>
        <w:t xml:space="preserve"> need further discussion. The following scenario is described as shown in Fig.2. Initially, the network indicates TCI state #a, at which time the current beam and the new beam are from same CC, the indicated TCI state and new beam RS(s) are also in the same CC. Later, UE-initiated/event-driven beam reporting happened, an event is triggered, and a better new beam is discovered, which comes from new beam set from CC1. As a result, the network updates the TCI state to the new TCI state #b corresponding to the newly selected new beam RS. At this time, the current beam and the new beam are still from same CC, the indicated TCI state and new beam RS(s) are also in the same CC. Subsequently, </w:t>
      </w:r>
      <w:r>
        <w:rPr>
          <w:rFonts w:hint="eastAsia" w:eastAsia="宋体"/>
          <w:sz w:val="21"/>
          <w:szCs w:val="21"/>
          <w:lang w:eastAsia="zh-CN"/>
        </w:rPr>
        <w:t xml:space="preserve">to consider the </w:t>
      </w:r>
      <w:r>
        <w:rPr>
          <w:rFonts w:eastAsia="宋体"/>
          <w:sz w:val="21"/>
          <w:szCs w:val="21"/>
          <w:lang w:eastAsia="zh-CN"/>
        </w:rPr>
        <w:t>cross-CC TCI</w:t>
      </w:r>
      <w:r>
        <w:rPr>
          <w:rFonts w:hint="eastAsia" w:eastAsia="宋体"/>
          <w:sz w:val="21"/>
          <w:szCs w:val="21"/>
          <w:lang w:eastAsia="zh-CN"/>
        </w:rPr>
        <w:t xml:space="preserve"> state update, it is possible that when the TCI state of CC2 is updated, then TCI state of CC1 is updated simultaneously. At this time, the TCI state is from CC2, the current beam for CC1 is RS-5 from CC2.</w:t>
      </w:r>
      <w:r>
        <w:rPr>
          <w:rFonts w:hint="eastAsia"/>
          <w:sz w:val="21"/>
          <w:szCs w:val="21"/>
          <w:lang w:val="en-US" w:eastAsia="zh-CN"/>
        </w:rPr>
        <w:t xml:space="preserve"> Therefore, it is possible that the current beam and the new beam can be in different CCs, the indicated TCI state and new beam RS(s) can be also in different CCs.</w:t>
      </w:r>
    </w:p>
    <w:p>
      <w:pPr>
        <w:snapToGrid w:val="0"/>
        <w:spacing w:before="120" w:beforeLines="50" w:line="288" w:lineRule="auto"/>
        <w:jc w:val="center"/>
        <w:rPr>
          <w:sz w:val="21"/>
          <w:szCs w:val="21"/>
          <w:lang w:eastAsia="zh-CN"/>
        </w:rPr>
      </w:pPr>
      <w:r>
        <w:rPr>
          <w:sz w:val="21"/>
          <w:szCs w:val="21"/>
          <w:lang w:eastAsia="zh-CN"/>
        </w:rPr>
        <w:drawing>
          <wp:inline distT="0" distB="0" distL="0" distR="0">
            <wp:extent cx="4210050" cy="1383030"/>
            <wp:effectExtent l="0" t="0" r="0" b="7620"/>
            <wp:docPr id="168555455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554555" name="图片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226118" cy="1388495"/>
                    </a:xfrm>
                    <a:prstGeom prst="rect">
                      <a:avLst/>
                    </a:prstGeom>
                    <a:noFill/>
                  </pic:spPr>
                </pic:pic>
              </a:graphicData>
            </a:graphic>
          </wp:inline>
        </w:drawing>
      </w:r>
    </w:p>
    <w:p>
      <w:pPr>
        <w:snapToGrid w:val="0"/>
        <w:spacing w:before="120" w:beforeLines="50" w:line="288" w:lineRule="auto"/>
        <w:jc w:val="center"/>
        <w:rPr>
          <w:sz w:val="21"/>
          <w:szCs w:val="21"/>
          <w:lang w:val="en-US" w:eastAsia="zh-CN"/>
        </w:rPr>
      </w:pPr>
      <w:r>
        <w:rPr>
          <w:rFonts w:eastAsia="PMingLiU"/>
          <w:color w:val="000000" w:themeColor="text1"/>
          <w:sz w:val="21"/>
          <w:szCs w:val="21"/>
          <w:lang w:eastAsia="zh-TW"/>
          <w14:textFill>
            <w14:solidFill>
              <w14:schemeClr w14:val="tx1"/>
            </w14:solidFill>
          </w14:textFill>
        </w:rPr>
        <w:t>Fig</w:t>
      </w:r>
      <w:r>
        <w:rPr>
          <w:rFonts w:hint="eastAsia" w:eastAsiaTheme="minorEastAsia"/>
          <w:color w:val="000000" w:themeColor="text1"/>
          <w:sz w:val="21"/>
          <w:szCs w:val="21"/>
          <w:lang w:eastAsia="zh-CN"/>
          <w14:textFill>
            <w14:solidFill>
              <w14:schemeClr w14:val="tx1"/>
            </w14:solidFill>
          </w14:textFill>
        </w:rPr>
        <w:t>.2</w:t>
      </w:r>
      <w:r>
        <w:rPr>
          <w:rFonts w:eastAsia="PMingLiU"/>
          <w:color w:val="000000" w:themeColor="text1"/>
          <w:sz w:val="21"/>
          <w:szCs w:val="21"/>
          <w:lang w:eastAsia="zh-TW"/>
          <w14:textFill>
            <w14:solidFill>
              <w14:schemeClr w14:val="tx1"/>
            </w14:solidFill>
          </w14:textFill>
        </w:rPr>
        <w:t xml:space="preserve"> Illustration of </w:t>
      </w:r>
      <w:r>
        <w:rPr>
          <w:rFonts w:hint="eastAsia" w:eastAsiaTheme="minorEastAsia"/>
          <w:color w:val="000000" w:themeColor="text1"/>
          <w:sz w:val="21"/>
          <w:szCs w:val="21"/>
          <w:lang w:eastAsia="zh-CN"/>
          <w14:textFill>
            <w14:solidFill>
              <w14:schemeClr w14:val="tx1"/>
            </w14:solidFill>
          </w14:textFill>
        </w:rPr>
        <w:t xml:space="preserve">cross-CC </w:t>
      </w:r>
      <w:r>
        <w:rPr>
          <w:rFonts w:hint="eastAsia" w:eastAsia="PMingLiU"/>
          <w:color w:val="000000" w:themeColor="text1"/>
          <w:sz w:val="21"/>
          <w:szCs w:val="21"/>
          <w:lang w:val="en-US" w:eastAsia="zh-CN"/>
          <w14:textFill>
            <w14:solidFill>
              <w14:schemeClr w14:val="tx1"/>
            </w14:solidFill>
          </w14:textFill>
        </w:rPr>
        <w:t>TCI state update</w:t>
      </w:r>
      <w:r>
        <w:rPr>
          <w:rFonts w:eastAsia="PMingLiU"/>
          <w:color w:val="000000" w:themeColor="text1"/>
          <w:sz w:val="21"/>
          <w:szCs w:val="21"/>
          <w:lang w:eastAsia="zh-TW"/>
          <w14:textFill>
            <w14:solidFill>
              <w14:schemeClr w14:val="tx1"/>
            </w14:solidFill>
          </w14:textFill>
        </w:rPr>
        <w:t>.</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9</w:t>
      </w:r>
      <w:r>
        <w:rPr>
          <w:b/>
          <w:bCs/>
          <w:i/>
          <w:iCs/>
          <w:sz w:val="21"/>
          <w:szCs w:val="21"/>
          <w:lang w:eastAsia="zh-CN"/>
        </w:rPr>
        <w:t>:</w:t>
      </w:r>
      <w:r>
        <w:rPr>
          <w:rFonts w:hint="eastAsia"/>
          <w:b/>
          <w:bCs/>
          <w:i/>
          <w:iCs/>
          <w:sz w:val="21"/>
          <w:szCs w:val="21"/>
          <w:lang w:val="en-US" w:eastAsia="zh-CN"/>
        </w:rPr>
        <w:t xml:space="preserve"> T</w:t>
      </w:r>
      <w:r>
        <w:rPr>
          <w:b/>
          <w:bCs/>
          <w:i/>
          <w:iCs/>
          <w:sz w:val="21"/>
          <w:szCs w:val="21"/>
          <w:lang w:val="en-US" w:eastAsia="zh-CN"/>
        </w:rPr>
        <w:t xml:space="preserve">he current beam and the new beam </w:t>
      </w:r>
      <w:r>
        <w:rPr>
          <w:rFonts w:hint="eastAsia"/>
          <w:b/>
          <w:bCs/>
          <w:i/>
          <w:iCs/>
          <w:sz w:val="21"/>
          <w:szCs w:val="21"/>
          <w:lang w:val="en-US" w:eastAsia="zh-CN"/>
        </w:rPr>
        <w:t>can be in</w:t>
      </w:r>
      <w:r>
        <w:rPr>
          <w:b/>
          <w:bCs/>
          <w:i/>
          <w:iCs/>
          <w:sz w:val="21"/>
          <w:szCs w:val="21"/>
          <w:lang w:val="en-US" w:eastAsia="zh-CN"/>
        </w:rPr>
        <w:t xml:space="preserve"> different CCs.</w:t>
      </w:r>
      <w:r>
        <w:rPr>
          <w:rFonts w:hint="eastAsia"/>
          <w:b/>
          <w:bCs/>
          <w:i/>
          <w:iCs/>
          <w:sz w:val="21"/>
          <w:szCs w:val="21"/>
          <w:lang w:val="en-US" w:eastAsia="zh-CN"/>
        </w:rPr>
        <w:t xml:space="preserve"> T</w:t>
      </w:r>
      <w:r>
        <w:rPr>
          <w:b/>
          <w:bCs/>
          <w:i/>
          <w:iCs/>
          <w:sz w:val="21"/>
          <w:szCs w:val="21"/>
          <w:lang w:eastAsia="zh-CN"/>
        </w:rPr>
        <w:t>he indicated TCI state and new beam RS(s) can be in different CCs.</w:t>
      </w:r>
    </w:p>
    <w:p>
      <w:pPr>
        <w:snapToGrid w:val="0"/>
        <w:spacing w:before="120" w:beforeLines="50" w:line="288" w:lineRule="auto"/>
        <w:jc w:val="both"/>
        <w:rPr>
          <w:sz w:val="21"/>
          <w:szCs w:val="21"/>
          <w:lang w:val="en-US" w:eastAsia="zh-CN"/>
        </w:rPr>
      </w:pPr>
    </w:p>
    <w:p>
      <w:pPr>
        <w:snapToGrid w:val="0"/>
        <w:spacing w:before="120" w:beforeLines="50" w:line="288" w:lineRule="auto"/>
        <w:jc w:val="both"/>
        <w:rPr>
          <w:sz w:val="21"/>
          <w:szCs w:val="21"/>
          <w:lang w:val="en-US" w:eastAsia="zh-CN"/>
        </w:rPr>
      </w:pPr>
      <w:r>
        <w:rPr>
          <w:rFonts w:hint="eastAsia"/>
          <w:sz w:val="21"/>
          <w:szCs w:val="21"/>
          <w:lang w:val="en-US" w:eastAsia="zh-CN"/>
        </w:rPr>
        <w:t xml:space="preserve">Regarding cross-carrier </w:t>
      </w:r>
      <w:r>
        <w:rPr>
          <w:sz w:val="21"/>
          <w:szCs w:val="21"/>
          <w:lang w:val="en-US" w:eastAsia="zh-CN"/>
        </w:rPr>
        <w:t>UE-initiated/event-driven beam reporting</w:t>
      </w:r>
      <w:r>
        <w:rPr>
          <w:rFonts w:hint="eastAsia"/>
          <w:sz w:val="21"/>
          <w:szCs w:val="21"/>
          <w:lang w:val="en-US" w:eastAsia="zh-CN"/>
        </w:rPr>
        <w:t>, there is also a desire to discuss the situation where one or more CCs in a CC list trigger an event under Mode B, such as configuring a first PUCCH and a second PUSCH for per CC or per CC list.</w:t>
      </w:r>
    </w:p>
    <w:p>
      <w:pPr>
        <w:snapToGrid w:val="0"/>
        <w:spacing w:before="120" w:beforeLines="50" w:line="288" w:lineRule="auto"/>
        <w:jc w:val="both"/>
        <w:rPr>
          <w:sz w:val="21"/>
          <w:szCs w:val="21"/>
          <w:lang w:val="en-US" w:eastAsia="zh-CN"/>
        </w:rPr>
      </w:pPr>
      <w:r>
        <w:rPr>
          <w:rFonts w:hint="eastAsia"/>
          <w:sz w:val="21"/>
          <w:szCs w:val="21"/>
          <w:lang w:val="en-US" w:eastAsia="zh-CN"/>
        </w:rPr>
        <w:t>Case 1: When a cross-carrier UE initiated beam report occurs, a first PUCCH channel is configured for the CC list, and the second PUSCH channel is configured for each CC within the CC list separately. As shown in Fig.3, when CC#0 in CC list#0 triggers a UE initiated beam report, the UE sends the pre-configured first channel PUCCH#0 on CC#0 and sends the corresponding second channel PUSCH configured for the CC, carrying UEIBR#0. Similarly, when CC#0 in CC list#1 triggers a UEI, the UE sends the pre-configured first channel PUCCH#0 on CC#1 and sends the corresponding second channel PUSCH#1 configured for the CC, carrying UEIBR#1.</w:t>
      </w:r>
    </w:p>
    <w:p>
      <w:pPr>
        <w:snapToGrid w:val="0"/>
        <w:spacing w:before="120" w:beforeLines="50" w:line="288" w:lineRule="auto"/>
        <w:jc w:val="center"/>
        <w:rPr>
          <w:rFonts w:hint="eastAsia" w:ascii="仿宋" w:hAnsi="仿宋" w:eastAsia="仿宋" w:cs="仿宋"/>
          <w:sz w:val="21"/>
          <w:szCs w:val="21"/>
        </w:rPr>
      </w:pPr>
      <w:r>
        <w:rPr>
          <w:rFonts w:hint="eastAsia" w:ascii="仿宋" w:hAnsi="仿宋" w:eastAsia="仿宋" w:cs="仿宋"/>
          <w:sz w:val="21"/>
          <w:szCs w:val="21"/>
        </w:rPr>
        <w:drawing>
          <wp:inline distT="0" distB="0" distL="114300" distR="114300">
            <wp:extent cx="3686175" cy="1725930"/>
            <wp:effectExtent l="0" t="0" r="1905" b="11430"/>
            <wp:docPr id="15" name="图片 15" descr="pucch-pusch-per 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pucch-pusch-per cc"/>
                    <pic:cNvPicPr>
                      <a:picLocks noChangeAspect="1"/>
                    </pic:cNvPicPr>
                  </pic:nvPicPr>
                  <pic:blipFill>
                    <a:blip r:embed="rId6"/>
                    <a:stretch>
                      <a:fillRect/>
                    </a:stretch>
                  </pic:blipFill>
                  <pic:spPr>
                    <a:xfrm>
                      <a:off x="0" y="0"/>
                      <a:ext cx="3686175" cy="1725930"/>
                    </a:xfrm>
                    <a:prstGeom prst="rect">
                      <a:avLst/>
                    </a:prstGeom>
                  </pic:spPr>
                </pic:pic>
              </a:graphicData>
            </a:graphic>
          </wp:inline>
        </w:drawing>
      </w:r>
    </w:p>
    <w:p>
      <w:pPr>
        <w:snapToGrid w:val="0"/>
        <w:spacing w:before="120" w:beforeLines="50" w:line="288" w:lineRule="auto"/>
        <w:jc w:val="center"/>
        <w:rPr>
          <w:rFonts w:hint="eastAsia" w:ascii="仿宋" w:hAnsi="仿宋" w:cs="仿宋" w:eastAsiaTheme="minorEastAsia"/>
          <w:sz w:val="21"/>
          <w:szCs w:val="21"/>
          <w:lang w:val="en-US" w:eastAsia="zh-CN"/>
        </w:rPr>
      </w:pPr>
      <w:r>
        <w:rPr>
          <w:rFonts w:eastAsia="PMingLiU"/>
          <w:color w:val="000000" w:themeColor="text1"/>
          <w:sz w:val="21"/>
          <w:szCs w:val="21"/>
          <w:lang w:eastAsia="zh-TW"/>
          <w14:textFill>
            <w14:solidFill>
              <w14:schemeClr w14:val="tx1"/>
            </w14:solidFill>
          </w14:textFill>
        </w:rPr>
        <w:t>Fig</w:t>
      </w:r>
      <w:r>
        <w:rPr>
          <w:rFonts w:hint="eastAsia" w:eastAsiaTheme="minorEastAsia"/>
          <w:color w:val="000000" w:themeColor="text1"/>
          <w:sz w:val="21"/>
          <w:szCs w:val="21"/>
          <w:lang w:eastAsia="zh-CN"/>
          <w14:textFill>
            <w14:solidFill>
              <w14:schemeClr w14:val="tx1"/>
            </w14:solidFill>
          </w14:textFill>
        </w:rPr>
        <w:t>. 3</w:t>
      </w:r>
      <w:r>
        <w:rPr>
          <w:rFonts w:eastAsia="PMingLiU"/>
          <w:color w:val="000000" w:themeColor="text1"/>
          <w:sz w:val="21"/>
          <w:szCs w:val="21"/>
          <w:lang w:eastAsia="zh-TW"/>
          <w14:textFill>
            <w14:solidFill>
              <w14:schemeClr w14:val="tx1"/>
            </w14:solidFill>
          </w14:textFill>
        </w:rPr>
        <w:t xml:space="preserve"> Illustration of</w:t>
      </w:r>
      <w:r>
        <w:rPr>
          <w:rFonts w:hint="eastAsia" w:eastAsia="PMingLiU"/>
          <w:color w:val="000000" w:themeColor="text1"/>
          <w:sz w:val="21"/>
          <w:szCs w:val="21"/>
          <w:lang w:val="en-US" w:eastAsia="zh-CN"/>
          <w14:textFill>
            <w14:solidFill>
              <w14:schemeClr w14:val="tx1"/>
            </w14:solidFill>
          </w14:textFill>
        </w:rPr>
        <w:t xml:space="preserve"> case 1</w:t>
      </w:r>
      <w:r>
        <w:rPr>
          <w:rFonts w:hint="eastAsia" w:eastAsiaTheme="minorEastAsia"/>
          <w:color w:val="000000" w:themeColor="text1"/>
          <w:sz w:val="21"/>
          <w:szCs w:val="21"/>
          <w:lang w:val="en-US" w:eastAsia="zh-CN"/>
          <w14:textFill>
            <w14:solidFill>
              <w14:schemeClr w14:val="tx1"/>
            </w14:solidFill>
          </w14:textFill>
        </w:rPr>
        <w:t>.</w:t>
      </w:r>
    </w:p>
    <w:p>
      <w:pPr>
        <w:snapToGrid w:val="0"/>
        <w:spacing w:before="120" w:beforeLines="50" w:line="288" w:lineRule="auto"/>
        <w:jc w:val="both"/>
        <w:rPr>
          <w:sz w:val="21"/>
          <w:szCs w:val="21"/>
          <w:lang w:val="en-US" w:eastAsia="zh-CN"/>
        </w:rPr>
      </w:pPr>
      <w:r>
        <w:rPr>
          <w:rFonts w:hint="eastAsia"/>
          <w:sz w:val="21"/>
          <w:szCs w:val="21"/>
          <w:lang w:val="en-US" w:eastAsia="zh-CN"/>
        </w:rPr>
        <w:t>Case 2: Configure a first PUCCH channel for each CC list, and configure one second PUSCH channel for each CC list (on one of the CCs in the CC list).</w:t>
      </w:r>
    </w:p>
    <w:p>
      <w:pPr>
        <w:snapToGrid w:val="0"/>
        <w:spacing w:before="120" w:beforeLines="50" w:line="288" w:lineRule="auto"/>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drawing>
          <wp:inline distT="0" distB="0" distL="114300" distR="114300">
            <wp:extent cx="2799080" cy="2007870"/>
            <wp:effectExtent l="0" t="0" r="5080" b="3810"/>
            <wp:docPr id="19" name="图片 19" descr="pucch-pusch-not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pucch-pusch-note (2)"/>
                    <pic:cNvPicPr>
                      <a:picLocks noChangeAspect="1"/>
                    </pic:cNvPicPr>
                  </pic:nvPicPr>
                  <pic:blipFill>
                    <a:blip r:embed="rId7"/>
                    <a:stretch>
                      <a:fillRect/>
                    </a:stretch>
                  </pic:blipFill>
                  <pic:spPr>
                    <a:xfrm>
                      <a:off x="0" y="0"/>
                      <a:ext cx="2799080" cy="2007870"/>
                    </a:xfrm>
                    <a:prstGeom prst="rect">
                      <a:avLst/>
                    </a:prstGeom>
                  </pic:spPr>
                </pic:pic>
              </a:graphicData>
            </a:graphic>
          </wp:inline>
        </w:drawing>
      </w:r>
    </w:p>
    <w:p>
      <w:pPr>
        <w:snapToGrid w:val="0"/>
        <w:spacing w:before="120" w:beforeLines="50" w:line="288" w:lineRule="auto"/>
        <w:jc w:val="center"/>
        <w:rPr>
          <w:rFonts w:hint="eastAsia" w:ascii="仿宋" w:hAnsi="仿宋" w:cs="仿宋" w:eastAsiaTheme="minorEastAsia"/>
          <w:sz w:val="21"/>
          <w:szCs w:val="21"/>
          <w:lang w:val="en-US" w:eastAsia="zh-CN"/>
        </w:rPr>
      </w:pPr>
      <w:r>
        <w:rPr>
          <w:rFonts w:eastAsia="PMingLiU"/>
          <w:color w:val="000000" w:themeColor="text1"/>
          <w:sz w:val="21"/>
          <w:szCs w:val="21"/>
          <w:lang w:eastAsia="zh-TW"/>
          <w14:textFill>
            <w14:solidFill>
              <w14:schemeClr w14:val="tx1"/>
            </w14:solidFill>
          </w14:textFill>
        </w:rPr>
        <w:t>Fig</w:t>
      </w:r>
      <w:r>
        <w:rPr>
          <w:rFonts w:hint="eastAsia" w:eastAsiaTheme="minorEastAsia"/>
          <w:color w:val="000000" w:themeColor="text1"/>
          <w:sz w:val="21"/>
          <w:szCs w:val="21"/>
          <w:lang w:eastAsia="zh-CN"/>
          <w14:textFill>
            <w14:solidFill>
              <w14:schemeClr w14:val="tx1"/>
            </w14:solidFill>
          </w14:textFill>
        </w:rPr>
        <w:t>. 4</w:t>
      </w:r>
      <w:r>
        <w:rPr>
          <w:rFonts w:eastAsia="PMingLiU"/>
          <w:color w:val="000000" w:themeColor="text1"/>
          <w:sz w:val="21"/>
          <w:szCs w:val="21"/>
          <w:lang w:eastAsia="zh-TW"/>
          <w14:textFill>
            <w14:solidFill>
              <w14:schemeClr w14:val="tx1"/>
            </w14:solidFill>
          </w14:textFill>
        </w:rPr>
        <w:t xml:space="preserve"> Illustration of</w:t>
      </w:r>
      <w:r>
        <w:rPr>
          <w:rFonts w:hint="eastAsia" w:eastAsia="PMingLiU"/>
          <w:color w:val="000000" w:themeColor="text1"/>
          <w:sz w:val="21"/>
          <w:szCs w:val="21"/>
          <w:lang w:val="en-US" w:eastAsia="zh-CN"/>
          <w14:textFill>
            <w14:solidFill>
              <w14:schemeClr w14:val="tx1"/>
            </w14:solidFill>
          </w14:textFill>
        </w:rPr>
        <w:t xml:space="preserve"> case </w:t>
      </w:r>
      <w:r>
        <w:rPr>
          <w:rFonts w:hint="eastAsia" w:eastAsiaTheme="minorEastAsia"/>
          <w:color w:val="000000" w:themeColor="text1"/>
          <w:sz w:val="21"/>
          <w:szCs w:val="21"/>
          <w:lang w:val="en-US" w:eastAsia="zh-CN"/>
          <w14:textFill>
            <w14:solidFill>
              <w14:schemeClr w14:val="tx1"/>
            </w14:solidFill>
          </w14:textFill>
        </w:rPr>
        <w:t>2.</w:t>
      </w:r>
    </w:p>
    <w:p>
      <w:pPr>
        <w:snapToGrid w:val="0"/>
        <w:spacing w:before="120" w:beforeLines="50" w:line="288" w:lineRule="auto"/>
        <w:jc w:val="both"/>
        <w:rPr>
          <w:sz w:val="21"/>
          <w:szCs w:val="21"/>
          <w:lang w:val="en-US" w:eastAsia="zh-CN"/>
        </w:rPr>
      </w:pPr>
      <w:r>
        <w:rPr>
          <w:rFonts w:hint="eastAsia"/>
          <w:sz w:val="21"/>
          <w:szCs w:val="21"/>
          <w:lang w:val="en-US" w:eastAsia="zh-CN"/>
        </w:rPr>
        <w:t>As shown in Fig.4, when a UE initiated beam report occurs on both CC#0 and CC#1 in the CC list#0, the UE sends the pre-configured first PUCCH channel PUCCH#0 on CC#0, and sends the pre-configured second PUSCH channel PUSCH#0 on CC#0, which is used to carry UEIBR#0 for CC#0 and UEIBR#1 for CC#1.</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val="en-US" w:eastAsia="zh-CN"/>
        </w:rPr>
        <w:t>10</w:t>
      </w:r>
      <w:r>
        <w:rPr>
          <w:b/>
          <w:bCs/>
          <w:i/>
          <w:iCs/>
          <w:sz w:val="21"/>
          <w:szCs w:val="21"/>
          <w:lang w:eastAsia="zh-CN"/>
        </w:rPr>
        <w:t>:</w:t>
      </w:r>
      <w:r>
        <w:rPr>
          <w:rFonts w:hint="eastAsia"/>
          <w:b/>
          <w:bCs/>
          <w:i/>
          <w:iCs/>
          <w:sz w:val="21"/>
          <w:szCs w:val="21"/>
          <w:lang w:val="en-US" w:eastAsia="zh-CN"/>
        </w:rPr>
        <w:t xml:space="preserve"> </w:t>
      </w:r>
      <w:r>
        <w:rPr>
          <w:b/>
          <w:bCs/>
          <w:i/>
          <w:iCs/>
          <w:sz w:val="21"/>
          <w:szCs w:val="21"/>
          <w:lang w:eastAsia="zh-CN"/>
        </w:rPr>
        <w:t xml:space="preserve">For </w:t>
      </w:r>
      <w:bookmarkStart w:id="3" w:name="OLE_LINK396"/>
      <w:r>
        <w:rPr>
          <w:rFonts w:hint="eastAsia"/>
          <w:b/>
          <w:bCs/>
          <w:i/>
          <w:iCs/>
          <w:sz w:val="21"/>
          <w:szCs w:val="21"/>
          <w:lang w:eastAsia="zh-CN"/>
        </w:rPr>
        <w:t>cross</w:t>
      </w:r>
      <w:bookmarkEnd w:id="3"/>
      <w:r>
        <w:rPr>
          <w:rFonts w:hint="eastAsia"/>
          <w:b/>
          <w:bCs/>
          <w:i/>
          <w:iCs/>
          <w:sz w:val="21"/>
          <w:szCs w:val="21"/>
          <w:lang w:val="en-US" w:eastAsia="zh-CN"/>
        </w:rPr>
        <w:t>-carrier</w:t>
      </w:r>
      <w:r>
        <w:rPr>
          <w:rFonts w:hint="eastAsia"/>
          <w:b/>
          <w:bCs/>
          <w:i/>
          <w:iCs/>
          <w:sz w:val="21"/>
          <w:szCs w:val="21"/>
          <w:lang w:eastAsia="zh-CN"/>
        </w:rPr>
        <w:t xml:space="preserve"> </w:t>
      </w:r>
      <w:r>
        <w:rPr>
          <w:b/>
          <w:bCs/>
          <w:i/>
          <w:iCs/>
          <w:sz w:val="21"/>
          <w:szCs w:val="21"/>
          <w:lang w:eastAsia="zh-CN"/>
        </w:rPr>
        <w:t xml:space="preserve">UE-initiated/event-driven beam reporting, the following </w:t>
      </w:r>
      <w:r>
        <w:rPr>
          <w:b/>
          <w:bCs/>
          <w:i/>
          <w:iCs/>
          <w:sz w:val="21"/>
          <w:szCs w:val="21"/>
          <w:lang w:val="en-US" w:eastAsia="zh-CN"/>
        </w:rPr>
        <w:t>configuration</w:t>
      </w:r>
      <w:r>
        <w:rPr>
          <w:rFonts w:hint="eastAsia"/>
          <w:b/>
          <w:bCs/>
          <w:i/>
          <w:iCs/>
          <w:sz w:val="21"/>
          <w:szCs w:val="21"/>
          <w:lang w:val="en-US" w:eastAsia="zh-CN"/>
        </w:rPr>
        <w:t xml:space="preserve"> cases </w:t>
      </w:r>
      <w:r>
        <w:rPr>
          <w:b/>
          <w:bCs/>
          <w:i/>
          <w:iCs/>
          <w:sz w:val="21"/>
          <w:szCs w:val="21"/>
          <w:lang w:eastAsia="zh-CN"/>
        </w:rPr>
        <w:t>are supported for t</w:t>
      </w:r>
      <w:r>
        <w:rPr>
          <w:rFonts w:hint="eastAsia"/>
          <w:b/>
          <w:bCs/>
          <w:i/>
          <w:iCs/>
          <w:sz w:val="21"/>
          <w:szCs w:val="21"/>
          <w:lang w:val="en-US" w:eastAsia="zh-CN"/>
        </w:rPr>
        <w:t>he first channel and the second channel</w:t>
      </w:r>
      <w:r>
        <w:rPr>
          <w:b/>
          <w:bCs/>
          <w:i/>
          <w:iCs/>
          <w:sz w:val="21"/>
          <w:szCs w:val="21"/>
          <w:lang w:eastAsia="zh-CN"/>
        </w:rPr>
        <w:t>:</w:t>
      </w:r>
    </w:p>
    <w:p>
      <w:pPr>
        <w:pStyle w:val="37"/>
        <w:numPr>
          <w:ilvl w:val="0"/>
          <w:numId w:val="13"/>
        </w:numPr>
        <w:snapToGrid w:val="0"/>
        <w:spacing w:line="288" w:lineRule="auto"/>
        <w:ind w:firstLineChars="0"/>
        <w:rPr>
          <w:rFonts w:ascii="Times New Roman" w:hAnsi="Times New Roman"/>
          <w:b/>
          <w:bCs/>
          <w:i/>
          <w:iCs/>
          <w:szCs w:val="21"/>
        </w:rPr>
      </w:pPr>
      <w:r>
        <w:rPr>
          <w:rFonts w:ascii="Times New Roman" w:hAnsi="Times New Roman"/>
          <w:b/>
          <w:bCs/>
          <w:i/>
          <w:iCs/>
          <w:szCs w:val="21"/>
        </w:rPr>
        <w:t>Case 1: A first PUCCH channel is configured per CC list, and the second PUSCH channel is configured for each CC within the CC list separately.</w:t>
      </w:r>
    </w:p>
    <w:p>
      <w:pPr>
        <w:pStyle w:val="37"/>
        <w:numPr>
          <w:ilvl w:val="0"/>
          <w:numId w:val="13"/>
        </w:numPr>
        <w:snapToGrid w:val="0"/>
        <w:spacing w:line="288" w:lineRule="auto"/>
        <w:ind w:firstLineChars="0"/>
        <w:rPr>
          <w:rFonts w:ascii="Times New Roman" w:hAnsi="Times New Roman"/>
          <w:b/>
          <w:bCs/>
          <w:i/>
          <w:iCs/>
          <w:szCs w:val="21"/>
        </w:rPr>
      </w:pPr>
      <w:r>
        <w:rPr>
          <w:rFonts w:ascii="Times New Roman" w:hAnsi="Times New Roman"/>
          <w:b/>
          <w:bCs/>
          <w:i/>
          <w:iCs/>
          <w:szCs w:val="21"/>
        </w:rPr>
        <w:t>Case 2: Configure a first PUCCH channel for each CC list, and configure one second PUSCH channel for each CC list.</w:t>
      </w:r>
    </w:p>
    <w:p>
      <w:pPr>
        <w:snapToGrid w:val="0"/>
        <w:spacing w:before="120" w:beforeLines="50" w:line="288" w:lineRule="auto"/>
        <w:jc w:val="both"/>
        <w:rPr>
          <w:rFonts w:hint="eastAsia" w:ascii="Arial" w:hAnsi="Arial" w:cs="Arial"/>
          <w:b/>
          <w:sz w:val="28"/>
          <w:szCs w:val="28"/>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5</w:t>
      </w:r>
      <w:r>
        <w:rPr>
          <w:rFonts w:ascii="Arial" w:hAnsi="Arial" w:cs="Arial"/>
          <w:b/>
          <w:sz w:val="24"/>
          <w:szCs w:val="24"/>
        </w:rPr>
        <w:t>. Conclusion</w:t>
      </w:r>
    </w:p>
    <w:p>
      <w:pPr>
        <w:widowControl w:val="0"/>
        <w:snapToGrid w:val="0"/>
        <w:spacing w:before="120" w:beforeLines="50" w:line="300" w:lineRule="auto"/>
        <w:jc w:val="both"/>
        <w:rPr>
          <w:rFonts w:eastAsia="Malgun Gothic"/>
          <w:kern w:val="2"/>
          <w:sz w:val="21"/>
          <w:szCs w:val="21"/>
          <w:lang w:val="en-US" w:eastAsia="ko-KR"/>
        </w:rPr>
      </w:pPr>
      <w:r>
        <w:rPr>
          <w:rFonts w:eastAsia="Times New Roman"/>
          <w:kern w:val="2"/>
          <w:sz w:val="21"/>
          <w:szCs w:val="21"/>
          <w:lang w:val="en-US" w:eastAsia="ko-KR"/>
        </w:rPr>
        <w:t>Based on the above discussions, the proposals are as follows:</w:t>
      </w:r>
    </w:p>
    <w:p>
      <w:pPr>
        <w:snapToGrid w:val="0"/>
        <w:spacing w:before="120" w:beforeLines="50" w:line="288" w:lineRule="auto"/>
        <w:jc w:val="both"/>
        <w:rPr>
          <w:rFonts w:hint="eastAsia" w:ascii="等线" w:hAnsi="等线" w:eastAsia="宋体"/>
          <w:b/>
          <w:bCs/>
          <w:i/>
          <w:iCs/>
          <w:szCs w:val="21"/>
        </w:rPr>
      </w:pPr>
      <w:r>
        <w:rPr>
          <w:rFonts w:hint="eastAsia" w:eastAsia="宋体"/>
          <w:b/>
          <w:bCs/>
          <w:i/>
          <w:iCs/>
          <w:sz w:val="21"/>
          <w:szCs w:val="21"/>
          <w:u w:val="single"/>
          <w:lang w:eastAsia="zh-CN"/>
        </w:rPr>
        <w:t>Proposal 1</w:t>
      </w:r>
      <w:r>
        <w:rPr>
          <w:rFonts w:hint="eastAsia" w:eastAsia="宋体"/>
          <w:b/>
          <w:bCs/>
          <w:i/>
          <w:iCs/>
          <w:sz w:val="21"/>
          <w:szCs w:val="21"/>
          <w:lang w:eastAsia="zh-CN"/>
        </w:rPr>
        <w:t xml:space="preserve">: When the </w:t>
      </w:r>
      <w:r>
        <w:rPr>
          <w:rFonts w:eastAsia="宋体"/>
          <w:b/>
          <w:bCs/>
          <w:i/>
          <w:iCs/>
          <w:sz w:val="21"/>
          <w:szCs w:val="21"/>
          <w:lang w:eastAsia="zh-CN"/>
        </w:rPr>
        <w:t>RS reconfiguration/update for new beam is received</w:t>
      </w:r>
      <w:r>
        <w:rPr>
          <w:rFonts w:hint="eastAsia" w:eastAsia="宋体"/>
          <w:b/>
          <w:bCs/>
          <w:i/>
          <w:iCs/>
          <w:sz w:val="21"/>
          <w:szCs w:val="21"/>
          <w:lang w:eastAsia="zh-CN"/>
        </w:rPr>
        <w:t>, the counting of the updated beam is reset</w:t>
      </w:r>
      <w:r>
        <w:rPr>
          <w:rFonts w:hint="eastAsia" w:eastAsia="宋体"/>
          <w:b/>
          <w:bCs/>
          <w:i/>
          <w:iCs/>
          <w:szCs w:val="21"/>
        </w:rPr>
        <w:t xml:space="preserve"> while </w:t>
      </w:r>
      <w:r>
        <w:rPr>
          <w:rFonts w:eastAsia="宋体"/>
          <w:b/>
          <w:bCs/>
          <w:i/>
          <w:iCs/>
          <w:sz w:val="21"/>
          <w:szCs w:val="21"/>
          <w:lang w:eastAsia="zh-CN"/>
        </w:rPr>
        <w:t xml:space="preserve">the counting whose new beam is </w:t>
      </w:r>
      <w:r>
        <w:rPr>
          <w:rFonts w:hint="eastAsia" w:eastAsia="宋体"/>
          <w:b/>
          <w:bCs/>
          <w:i/>
          <w:iCs/>
          <w:szCs w:val="21"/>
        </w:rPr>
        <w:t>not</w:t>
      </w:r>
      <w:r>
        <w:rPr>
          <w:rFonts w:eastAsia="宋体"/>
          <w:b/>
          <w:bCs/>
          <w:i/>
          <w:iCs/>
          <w:sz w:val="21"/>
          <w:szCs w:val="21"/>
          <w:lang w:eastAsia="zh-CN"/>
        </w:rPr>
        <w:t xml:space="preserve"> updated </w:t>
      </w:r>
      <w:r>
        <w:rPr>
          <w:rFonts w:hint="eastAsia" w:eastAsia="宋体"/>
          <w:b/>
          <w:bCs/>
          <w:i/>
          <w:iCs/>
          <w:sz w:val="21"/>
          <w:szCs w:val="21"/>
          <w:lang w:eastAsia="zh-CN"/>
        </w:rPr>
        <w:t xml:space="preserve">is </w:t>
      </w:r>
      <w:r>
        <w:rPr>
          <w:rFonts w:eastAsia="宋体"/>
          <w:b/>
          <w:bCs/>
          <w:i/>
          <w:iCs/>
          <w:sz w:val="21"/>
          <w:szCs w:val="21"/>
          <w:lang w:eastAsia="zh-CN"/>
        </w:rPr>
        <w:t>maintain</w:t>
      </w:r>
      <w:r>
        <w:rPr>
          <w:rFonts w:hint="eastAsia" w:eastAsia="宋体"/>
          <w:b/>
          <w:bCs/>
          <w:i/>
          <w:iCs/>
          <w:sz w:val="21"/>
          <w:szCs w:val="21"/>
          <w:lang w:eastAsia="zh-CN"/>
        </w:rPr>
        <w:t>ed</w:t>
      </w:r>
      <w:r>
        <w:rPr>
          <w:rFonts w:eastAsia="宋体"/>
          <w:b/>
          <w:bCs/>
          <w:i/>
          <w:iCs/>
          <w:sz w:val="21"/>
          <w:szCs w:val="21"/>
          <w:lang w:eastAsia="zh-CN"/>
        </w:rPr>
        <w:t>.</w:t>
      </w:r>
      <w:r>
        <w:rPr>
          <w:rFonts w:hint="eastAsia" w:eastAsia="宋体"/>
          <w:b/>
          <w:bCs/>
          <w:i/>
          <w:iCs/>
          <w:sz w:val="21"/>
          <w:szCs w:val="21"/>
          <w:lang w:eastAsia="zh-CN"/>
        </w:rPr>
        <w:t xml:space="preserve"> </w:t>
      </w:r>
      <w:r>
        <w:rPr>
          <w:rFonts w:hint="eastAsia"/>
          <w:b/>
          <w:bCs/>
          <w:i/>
          <w:iCs/>
          <w:sz w:val="21"/>
          <w:szCs w:val="21"/>
          <w:lang w:eastAsia="zh-CN"/>
        </w:rPr>
        <w:t>When</w:t>
      </w:r>
      <w:r>
        <w:rPr>
          <w:rFonts w:eastAsia="宋体"/>
          <w:b/>
          <w:bCs/>
          <w:i/>
          <w:iCs/>
          <w:sz w:val="21"/>
          <w:szCs w:val="21"/>
          <w:lang w:eastAsia="zh-CN"/>
        </w:rPr>
        <w:t xml:space="preserve"> </w:t>
      </w:r>
      <w:r>
        <w:rPr>
          <w:rFonts w:hint="eastAsia" w:eastAsia="宋体"/>
          <w:b/>
          <w:bCs/>
          <w:i/>
          <w:iCs/>
          <w:sz w:val="21"/>
          <w:szCs w:val="21"/>
          <w:lang w:eastAsia="zh-CN"/>
        </w:rPr>
        <w:t>t</w:t>
      </w:r>
      <w:r>
        <w:rPr>
          <w:rFonts w:eastAsia="宋体"/>
          <w:b/>
          <w:bCs/>
          <w:i/>
          <w:iCs/>
          <w:sz w:val="21"/>
          <w:szCs w:val="21"/>
          <w:lang w:eastAsia="zh-CN"/>
        </w:rPr>
        <w:t>he measured current beam based on indicated TCI state is updated</w:t>
      </w:r>
      <w:r>
        <w:rPr>
          <w:rFonts w:hint="eastAsia" w:eastAsia="宋体"/>
          <w:b/>
          <w:bCs/>
          <w:i/>
          <w:iCs/>
          <w:sz w:val="21"/>
          <w:szCs w:val="21"/>
          <w:lang w:eastAsia="zh-CN"/>
        </w:rPr>
        <w:t xml:space="preserve">, </w:t>
      </w:r>
      <w:r>
        <w:rPr>
          <w:rFonts w:eastAsia="宋体"/>
          <w:b/>
          <w:bCs/>
          <w:i/>
          <w:iCs/>
          <w:sz w:val="21"/>
          <w:szCs w:val="21"/>
          <w:lang w:eastAsia="zh-CN"/>
        </w:rPr>
        <w:t>UE need to reset the counting for all new beams.</w:t>
      </w:r>
    </w:p>
    <w:p>
      <w:pPr>
        <w:snapToGrid w:val="0"/>
        <w:spacing w:before="120" w:beforeLines="50" w:line="288" w:lineRule="auto"/>
        <w:jc w:val="both"/>
        <w:rPr>
          <w:rFonts w:hint="eastAsia" w:eastAsia="宋体"/>
          <w:b/>
          <w:bCs/>
          <w:i/>
          <w:iCs/>
          <w:sz w:val="21"/>
          <w:szCs w:val="21"/>
          <w:lang w:eastAsia="zh-CN"/>
        </w:rPr>
      </w:pPr>
      <w:r>
        <w:rPr>
          <w:rFonts w:hint="eastAsia" w:eastAsia="宋体"/>
          <w:b/>
          <w:bCs/>
          <w:i/>
          <w:iCs/>
          <w:sz w:val="21"/>
          <w:szCs w:val="21"/>
          <w:u w:val="single"/>
          <w:lang w:eastAsia="zh-CN"/>
        </w:rPr>
        <w:t>Proposal 2</w:t>
      </w:r>
      <w:r>
        <w:rPr>
          <w:rFonts w:hint="eastAsia" w:eastAsia="宋体"/>
          <w:b/>
          <w:bCs/>
          <w:i/>
          <w:iCs/>
          <w:sz w:val="21"/>
          <w:szCs w:val="21"/>
          <w:lang w:eastAsia="zh-CN"/>
        </w:rPr>
        <w:t xml:space="preserve">: </w:t>
      </w:r>
      <w:r>
        <w:rPr>
          <w:rFonts w:eastAsia="宋体"/>
          <w:b/>
          <w:bCs/>
          <w:i/>
          <w:iCs/>
          <w:sz w:val="21"/>
          <w:szCs w:val="21"/>
          <w:lang w:eastAsia="zh-CN"/>
        </w:rPr>
        <w:t>The periodicity of the current beam RS can be different from that of the new beam RS(s)</w:t>
      </w:r>
      <w:r>
        <w:rPr>
          <w:rFonts w:hint="eastAsia" w:eastAsia="宋体"/>
          <w:b/>
          <w:bCs/>
          <w:i/>
          <w:iCs/>
          <w:sz w:val="21"/>
          <w:szCs w:val="21"/>
          <w:lang w:eastAsia="zh-CN"/>
        </w:rPr>
        <w:t xml:space="preserve">. </w:t>
      </w:r>
      <w:r>
        <w:rPr>
          <w:rFonts w:eastAsia="宋体"/>
          <w:b/>
          <w:bCs/>
          <w:i/>
          <w:iCs/>
          <w:sz w:val="21"/>
          <w:szCs w:val="21"/>
          <w:lang w:eastAsia="zh-CN"/>
        </w:rPr>
        <w:t>The evaluation periodicity is the maximum of {X ms, shortest periodicity of the current beam RS and new beam RS(s)}</w:t>
      </w:r>
      <w:r>
        <w:rPr>
          <w:rFonts w:hint="eastAsia" w:eastAsia="宋体"/>
          <w:b/>
          <w:bCs/>
          <w:i/>
          <w:iCs/>
          <w:sz w:val="21"/>
          <w:szCs w:val="21"/>
          <w:lang w:eastAsia="zh-CN"/>
        </w:rPr>
        <w:t>.</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3</w:t>
      </w:r>
      <w:r>
        <w:rPr>
          <w:rFonts w:eastAsiaTheme="minorEastAsia"/>
          <w:b/>
          <w:i/>
          <w:sz w:val="21"/>
          <w:szCs w:val="21"/>
        </w:rPr>
        <w:t xml:space="preserve">: </w:t>
      </w:r>
      <w:r>
        <w:rPr>
          <w:rFonts w:hint="eastAsia" w:eastAsiaTheme="minorEastAsia"/>
          <w:b/>
          <w:i/>
          <w:sz w:val="21"/>
          <w:szCs w:val="21"/>
          <w:lang w:eastAsia="zh-CN"/>
        </w:rPr>
        <w:t>R</w:t>
      </w:r>
      <w:r>
        <w:rPr>
          <w:rFonts w:eastAsiaTheme="minorEastAsia"/>
          <w:b/>
          <w:i/>
          <w:sz w:val="21"/>
          <w:szCs w:val="21"/>
        </w:rPr>
        <w:t>egarding trigger events,</w:t>
      </w:r>
      <w:r>
        <w:rPr>
          <w:rFonts w:hint="eastAsia" w:eastAsiaTheme="minorEastAsia"/>
          <w:b/>
          <w:i/>
          <w:sz w:val="21"/>
          <w:szCs w:val="21"/>
          <w:lang w:eastAsia="zh-CN"/>
        </w:rPr>
        <w:t xml:space="preserve"> </w:t>
      </w:r>
      <w:r>
        <w:rPr>
          <w:rFonts w:eastAsiaTheme="minorEastAsia"/>
          <w:b/>
          <w:i/>
          <w:sz w:val="21"/>
          <w:szCs w:val="21"/>
          <w:lang w:eastAsia="zh-CN"/>
        </w:rPr>
        <w:t>Event-1: Quality of the current beam is worse than a certain threshold</w:t>
      </w:r>
      <w:r>
        <w:rPr>
          <w:rFonts w:hint="eastAsia" w:eastAsiaTheme="minorEastAsia"/>
          <w:b/>
          <w:i/>
          <w:sz w:val="21"/>
          <w:szCs w:val="21"/>
          <w:lang w:eastAsia="zh-CN"/>
        </w:rPr>
        <w:t xml:space="preserve"> could be supported, </w:t>
      </w:r>
      <w:r>
        <w:rPr>
          <w:rFonts w:eastAsiaTheme="minorEastAsia"/>
          <w:b/>
          <w:i/>
          <w:sz w:val="21"/>
          <w:szCs w:val="21"/>
          <w:lang w:eastAsia="zh-CN"/>
        </w:rPr>
        <w:t>and Mode-A could be used with 1 bit first PUCCH to request an aperiodic CSI reporting when the condition of Event-1 is satisfied.</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4</w:t>
      </w:r>
      <w:r>
        <w:rPr>
          <w:rFonts w:eastAsiaTheme="minorEastAsia"/>
          <w:b/>
          <w:i/>
          <w:sz w:val="21"/>
          <w:szCs w:val="21"/>
        </w:rPr>
        <w:t xml:space="preserve">: </w:t>
      </w:r>
      <w:r>
        <w:rPr>
          <w:rFonts w:hint="eastAsia" w:eastAsiaTheme="minorEastAsia"/>
          <w:b/>
          <w:i/>
          <w:sz w:val="21"/>
          <w:szCs w:val="21"/>
          <w:lang w:eastAsia="zh-CN"/>
        </w:rPr>
        <w:t xml:space="preserve">Support to </w:t>
      </w:r>
      <w:r>
        <w:rPr>
          <w:rFonts w:eastAsiaTheme="minorEastAsia"/>
          <w:b/>
          <w:i/>
          <w:sz w:val="21"/>
          <w:szCs w:val="21"/>
          <w:lang w:eastAsia="zh-CN"/>
        </w:rPr>
        <w:t>report additional indication of which CRI/SSBRI(s) satisfy the condition of Event-2.</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5</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6</w:t>
      </w:r>
      <w:r>
        <w:rPr>
          <w:b/>
          <w:bCs/>
          <w:i/>
          <w:iCs/>
          <w:sz w:val="21"/>
          <w:szCs w:val="21"/>
          <w:lang w:eastAsia="zh-CN"/>
        </w:rPr>
        <w:t xml:space="preserve">: </w:t>
      </w:r>
      <w:r>
        <w:rPr>
          <w:rFonts w:hint="eastAsia"/>
          <w:b/>
          <w:bCs/>
          <w:i/>
          <w:iCs/>
          <w:sz w:val="21"/>
          <w:szCs w:val="21"/>
          <w:lang w:eastAsia="zh-CN"/>
        </w:rPr>
        <w:t>R</w:t>
      </w:r>
      <w:r>
        <w:rPr>
          <w:b/>
          <w:bCs/>
          <w:i/>
          <w:iCs/>
          <w:sz w:val="21"/>
          <w:szCs w:val="21"/>
          <w:lang w:eastAsia="zh-CN"/>
        </w:rPr>
        <w:t>egarding the dedicated RRC signaling for first PUCCH channel configuration for Mode-</w:t>
      </w:r>
      <w:r>
        <w:rPr>
          <w:rFonts w:hint="eastAsia"/>
          <w:b/>
          <w:bCs/>
          <w:i/>
          <w:iCs/>
          <w:sz w:val="21"/>
          <w:szCs w:val="21"/>
          <w:lang w:eastAsia="zh-CN"/>
        </w:rPr>
        <w:t>A and</w:t>
      </w:r>
      <w:r>
        <w:rPr>
          <w:rStyle w:val="22"/>
          <w:rFonts w:hint="eastAsia" w:eastAsiaTheme="minorEastAsia"/>
          <w:i/>
          <w:iCs/>
          <w:sz w:val="21"/>
          <w:szCs w:val="21"/>
          <w:lang w:eastAsia="zh-CN"/>
        </w:rPr>
        <w:t xml:space="preserve"> </w:t>
      </w:r>
      <w:r>
        <w:rPr>
          <w:rStyle w:val="22"/>
          <w:rFonts w:hint="eastAsia" w:eastAsiaTheme="minorEastAsia"/>
          <w:i/>
          <w:iCs/>
          <w:sz w:val="21"/>
          <w:szCs w:val="21"/>
          <w:lang w:val="en-US" w:eastAsia="zh-CN"/>
        </w:rPr>
        <w:t>Mode B</w:t>
      </w:r>
      <w:r>
        <w:rPr>
          <w:rStyle w:val="22"/>
          <w:rFonts w:hint="eastAsia" w:eastAsiaTheme="minorEastAsia"/>
          <w:i/>
          <w:iCs/>
          <w:sz w:val="21"/>
          <w:szCs w:val="21"/>
          <w:lang w:eastAsia="zh-CN"/>
        </w:rPr>
        <w:t>, s</w:t>
      </w:r>
      <w:r>
        <w:rPr>
          <w:rStyle w:val="22"/>
          <w:rFonts w:eastAsia="Malgun Gothic"/>
          <w:i/>
          <w:iCs/>
          <w:sz w:val="21"/>
          <w:szCs w:val="21"/>
          <w:lang w:eastAsia="ko-KR"/>
        </w:rPr>
        <w:t>upport</w:t>
      </w:r>
      <w:r>
        <w:rPr>
          <w:rStyle w:val="22"/>
          <w:rFonts w:hint="eastAsia" w:eastAsiaTheme="minorEastAsia"/>
          <w:i/>
          <w:iCs/>
          <w:sz w:val="21"/>
          <w:szCs w:val="21"/>
          <w:lang w:eastAsia="zh-CN"/>
        </w:rPr>
        <w:t xml:space="preserve"> </w:t>
      </w:r>
      <w:r>
        <w:rPr>
          <w:rStyle w:val="22"/>
          <w:rFonts w:eastAsia="Malgun Gothic"/>
          <w:i/>
          <w:iCs/>
          <w:sz w:val="21"/>
          <w:szCs w:val="21"/>
          <w:lang w:eastAsia="ko-KR"/>
        </w:rPr>
        <w:t>Alt 2 (new UCI type): Introduce RRC parameter, e.g., firstPUCCHResourceConfig-ModeB-UEIBR, for the periodic PUCCH resource configuration.</w:t>
      </w:r>
    </w:p>
    <w:p>
      <w:pPr>
        <w:snapToGrid w:val="0"/>
        <w:spacing w:before="120" w:beforeLines="50" w:line="288" w:lineRule="auto"/>
        <w:jc w:val="both"/>
        <w:rPr>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7</w:t>
      </w:r>
      <w:r>
        <w:rPr>
          <w:b/>
          <w:bCs/>
          <w:i/>
          <w:iCs/>
          <w:sz w:val="21"/>
          <w:szCs w:val="21"/>
          <w:lang w:eastAsia="zh-CN"/>
        </w:rPr>
        <w:t xml:space="preserve">: </w:t>
      </w:r>
      <w:r>
        <w:rPr>
          <w:rFonts w:hint="eastAsia"/>
          <w:b/>
          <w:bCs/>
          <w:i/>
          <w:iCs/>
          <w:sz w:val="21"/>
          <w:szCs w:val="21"/>
          <w:lang w:val="en-US" w:eastAsia="zh-CN"/>
        </w:rPr>
        <w:t xml:space="preserve">A CSI trigger state should not be dedicated to UE-initiated/event-driven beam reporting, and </w:t>
      </w:r>
      <w:r>
        <w:rPr>
          <w:b/>
          <w:bCs/>
          <w:i/>
          <w:iCs/>
          <w:sz w:val="21"/>
          <w:szCs w:val="21"/>
          <w:lang w:eastAsia="zh-CN"/>
        </w:rPr>
        <w:t>a CSI trigger state</w:t>
      </w:r>
      <w:r>
        <w:rPr>
          <w:rFonts w:hint="eastAsia"/>
          <w:b/>
          <w:bCs/>
          <w:i/>
          <w:iCs/>
          <w:sz w:val="21"/>
          <w:szCs w:val="21"/>
          <w:lang w:val="en-US" w:eastAsia="zh-CN"/>
        </w:rPr>
        <w:t xml:space="preserve"> can </w:t>
      </w:r>
      <w:r>
        <w:rPr>
          <w:b/>
          <w:bCs/>
          <w:i/>
          <w:iCs/>
          <w:sz w:val="21"/>
          <w:szCs w:val="21"/>
          <w:lang w:val="en-US" w:eastAsia="zh-CN"/>
        </w:rPr>
        <w:t>associate</w:t>
      </w:r>
      <w:r>
        <w:rPr>
          <w:rFonts w:hint="eastAsia"/>
          <w:b/>
          <w:bCs/>
          <w:i/>
          <w:iCs/>
          <w:sz w:val="21"/>
          <w:szCs w:val="21"/>
          <w:lang w:val="en-US" w:eastAsia="zh-CN"/>
        </w:rPr>
        <w:t xml:space="preserve"> with legacy AP-CSI report configuration.</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8</w:t>
      </w:r>
      <w:r>
        <w:rPr>
          <w:b/>
          <w:bCs/>
          <w:i/>
          <w:iCs/>
          <w:sz w:val="21"/>
          <w:szCs w:val="21"/>
          <w:lang w:eastAsia="zh-CN"/>
        </w:rPr>
        <w:t>:</w:t>
      </w:r>
      <w:r>
        <w:rPr>
          <w:rFonts w:hint="eastAsia"/>
          <w:b/>
          <w:bCs/>
          <w:i/>
          <w:iCs/>
          <w:sz w:val="21"/>
          <w:szCs w:val="21"/>
          <w:lang w:val="en-US" w:eastAsia="zh-CN"/>
        </w:rPr>
        <w:t xml:space="preserve"> T</w:t>
      </w:r>
      <w:r>
        <w:rPr>
          <w:b/>
          <w:bCs/>
          <w:i/>
          <w:iCs/>
          <w:sz w:val="21"/>
          <w:szCs w:val="21"/>
          <w:lang w:eastAsia="zh-CN"/>
        </w:rPr>
        <w:t>he first PUCCH and the second PUSCH should be from the same PUCCH group</w:t>
      </w:r>
      <w:r>
        <w:rPr>
          <w:rFonts w:hint="eastAsia"/>
          <w:b/>
          <w:bCs/>
          <w:i/>
          <w:iCs/>
          <w:sz w:val="21"/>
          <w:szCs w:val="21"/>
          <w:lang w:val="en-US" w:eastAsia="zh-CN"/>
        </w:rPr>
        <w:t>.</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9</w:t>
      </w:r>
      <w:r>
        <w:rPr>
          <w:b/>
          <w:bCs/>
          <w:i/>
          <w:iCs/>
          <w:sz w:val="21"/>
          <w:szCs w:val="21"/>
          <w:lang w:eastAsia="zh-CN"/>
        </w:rPr>
        <w:t>:</w:t>
      </w:r>
      <w:r>
        <w:rPr>
          <w:rFonts w:hint="eastAsia"/>
          <w:b/>
          <w:bCs/>
          <w:i/>
          <w:iCs/>
          <w:sz w:val="21"/>
          <w:szCs w:val="21"/>
          <w:lang w:val="en-US" w:eastAsia="zh-CN"/>
        </w:rPr>
        <w:t xml:space="preserve"> T</w:t>
      </w:r>
      <w:r>
        <w:rPr>
          <w:b/>
          <w:bCs/>
          <w:i/>
          <w:iCs/>
          <w:sz w:val="21"/>
          <w:szCs w:val="21"/>
          <w:lang w:val="en-US" w:eastAsia="zh-CN"/>
        </w:rPr>
        <w:t xml:space="preserve">he current beam and the new beam </w:t>
      </w:r>
      <w:r>
        <w:rPr>
          <w:rFonts w:hint="eastAsia"/>
          <w:b/>
          <w:bCs/>
          <w:i/>
          <w:iCs/>
          <w:sz w:val="21"/>
          <w:szCs w:val="21"/>
          <w:lang w:val="en-US" w:eastAsia="zh-CN"/>
        </w:rPr>
        <w:t>can be in</w:t>
      </w:r>
      <w:r>
        <w:rPr>
          <w:b/>
          <w:bCs/>
          <w:i/>
          <w:iCs/>
          <w:sz w:val="21"/>
          <w:szCs w:val="21"/>
          <w:lang w:val="en-US" w:eastAsia="zh-CN"/>
        </w:rPr>
        <w:t xml:space="preserve"> different CCs.</w:t>
      </w:r>
      <w:r>
        <w:rPr>
          <w:rFonts w:hint="eastAsia"/>
          <w:b/>
          <w:bCs/>
          <w:i/>
          <w:iCs/>
          <w:sz w:val="21"/>
          <w:szCs w:val="21"/>
          <w:lang w:val="en-US" w:eastAsia="zh-CN"/>
        </w:rPr>
        <w:t xml:space="preserve"> T</w:t>
      </w:r>
      <w:r>
        <w:rPr>
          <w:b/>
          <w:bCs/>
          <w:i/>
          <w:iCs/>
          <w:sz w:val="21"/>
          <w:szCs w:val="21"/>
          <w:lang w:eastAsia="zh-CN"/>
        </w:rPr>
        <w:t>he indicated TCI state and new beam RS(s) can be in different CCs.</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val="en-US" w:eastAsia="zh-CN"/>
        </w:rPr>
        <w:t>10</w:t>
      </w:r>
      <w:r>
        <w:rPr>
          <w:b/>
          <w:bCs/>
          <w:i/>
          <w:iCs/>
          <w:sz w:val="21"/>
          <w:szCs w:val="21"/>
          <w:lang w:eastAsia="zh-CN"/>
        </w:rPr>
        <w:t>:</w:t>
      </w:r>
      <w:r>
        <w:rPr>
          <w:rFonts w:hint="eastAsia"/>
          <w:b/>
          <w:bCs/>
          <w:i/>
          <w:iCs/>
          <w:sz w:val="21"/>
          <w:szCs w:val="21"/>
          <w:lang w:val="en-US" w:eastAsia="zh-CN"/>
        </w:rPr>
        <w:t xml:space="preserve"> </w:t>
      </w:r>
      <w:r>
        <w:rPr>
          <w:b/>
          <w:bCs/>
          <w:i/>
          <w:iCs/>
          <w:sz w:val="21"/>
          <w:szCs w:val="21"/>
          <w:lang w:eastAsia="zh-CN"/>
        </w:rPr>
        <w:t xml:space="preserve">For </w:t>
      </w:r>
      <w:r>
        <w:rPr>
          <w:rFonts w:hint="eastAsia"/>
          <w:b/>
          <w:bCs/>
          <w:i/>
          <w:iCs/>
          <w:sz w:val="21"/>
          <w:szCs w:val="21"/>
          <w:lang w:eastAsia="zh-CN"/>
        </w:rPr>
        <w:t>cross</w:t>
      </w:r>
      <w:r>
        <w:rPr>
          <w:rFonts w:hint="eastAsia"/>
          <w:b/>
          <w:bCs/>
          <w:i/>
          <w:iCs/>
          <w:sz w:val="21"/>
          <w:szCs w:val="21"/>
          <w:lang w:val="en-US" w:eastAsia="zh-CN"/>
        </w:rPr>
        <w:t>-carrier</w:t>
      </w:r>
      <w:r>
        <w:rPr>
          <w:rFonts w:hint="eastAsia"/>
          <w:b/>
          <w:bCs/>
          <w:i/>
          <w:iCs/>
          <w:sz w:val="21"/>
          <w:szCs w:val="21"/>
          <w:lang w:eastAsia="zh-CN"/>
        </w:rPr>
        <w:t xml:space="preserve"> </w:t>
      </w:r>
      <w:r>
        <w:rPr>
          <w:b/>
          <w:bCs/>
          <w:i/>
          <w:iCs/>
          <w:sz w:val="21"/>
          <w:szCs w:val="21"/>
          <w:lang w:eastAsia="zh-CN"/>
        </w:rPr>
        <w:t xml:space="preserve">UE-initiated/event-driven beam reporting, the following </w:t>
      </w:r>
      <w:r>
        <w:rPr>
          <w:b/>
          <w:bCs/>
          <w:i/>
          <w:iCs/>
          <w:sz w:val="21"/>
          <w:szCs w:val="21"/>
          <w:lang w:val="en-US" w:eastAsia="zh-CN"/>
        </w:rPr>
        <w:t>configuration</w:t>
      </w:r>
      <w:r>
        <w:rPr>
          <w:rFonts w:hint="eastAsia"/>
          <w:b/>
          <w:bCs/>
          <w:i/>
          <w:iCs/>
          <w:sz w:val="21"/>
          <w:szCs w:val="21"/>
          <w:lang w:val="en-US" w:eastAsia="zh-CN"/>
        </w:rPr>
        <w:t xml:space="preserve"> cases </w:t>
      </w:r>
      <w:r>
        <w:rPr>
          <w:b/>
          <w:bCs/>
          <w:i/>
          <w:iCs/>
          <w:sz w:val="21"/>
          <w:szCs w:val="21"/>
          <w:lang w:eastAsia="zh-CN"/>
        </w:rPr>
        <w:t>are supported for t</w:t>
      </w:r>
      <w:r>
        <w:rPr>
          <w:rFonts w:hint="eastAsia"/>
          <w:b/>
          <w:bCs/>
          <w:i/>
          <w:iCs/>
          <w:sz w:val="21"/>
          <w:szCs w:val="21"/>
          <w:lang w:val="en-US" w:eastAsia="zh-CN"/>
        </w:rPr>
        <w:t>he first channel and the second channel</w:t>
      </w:r>
      <w:r>
        <w:rPr>
          <w:b/>
          <w:bCs/>
          <w:i/>
          <w:iCs/>
          <w:sz w:val="21"/>
          <w:szCs w:val="21"/>
          <w:lang w:eastAsia="zh-CN"/>
        </w:rPr>
        <w:t>:</w:t>
      </w:r>
    </w:p>
    <w:p>
      <w:pPr>
        <w:pStyle w:val="37"/>
        <w:numPr>
          <w:ilvl w:val="0"/>
          <w:numId w:val="13"/>
        </w:numPr>
        <w:snapToGrid w:val="0"/>
        <w:spacing w:line="288" w:lineRule="auto"/>
        <w:ind w:firstLineChars="0"/>
        <w:rPr>
          <w:rFonts w:ascii="Times New Roman" w:hAnsi="Times New Roman"/>
          <w:b/>
          <w:bCs/>
          <w:i/>
          <w:iCs/>
          <w:szCs w:val="21"/>
        </w:rPr>
      </w:pPr>
      <w:r>
        <w:rPr>
          <w:rFonts w:ascii="Times New Roman" w:hAnsi="Times New Roman"/>
          <w:b/>
          <w:bCs/>
          <w:i/>
          <w:iCs/>
          <w:szCs w:val="21"/>
        </w:rPr>
        <w:t>Case 1: A first PUCCH channel is configured per CC list, and the second PUSCH channel is configured for each CC within the CC list separately.</w:t>
      </w:r>
    </w:p>
    <w:p>
      <w:pPr>
        <w:pStyle w:val="37"/>
        <w:numPr>
          <w:ilvl w:val="0"/>
          <w:numId w:val="13"/>
        </w:numPr>
        <w:snapToGrid w:val="0"/>
        <w:spacing w:line="288" w:lineRule="auto"/>
        <w:ind w:firstLineChars="0"/>
        <w:rPr>
          <w:rFonts w:ascii="Times New Roman" w:hAnsi="Times New Roman"/>
          <w:b/>
          <w:bCs/>
          <w:i/>
          <w:iCs/>
          <w:szCs w:val="21"/>
        </w:rPr>
      </w:pPr>
      <w:r>
        <w:rPr>
          <w:rFonts w:ascii="Times New Roman" w:hAnsi="Times New Roman"/>
          <w:b/>
          <w:bCs/>
          <w:i/>
          <w:iCs/>
          <w:szCs w:val="21"/>
        </w:rPr>
        <w:t>Case 2: Configure a first PUCCH channel for each CC list, and configure one second PUSCH channel for each CC list.</w:t>
      </w:r>
    </w:p>
    <w:p>
      <w:pPr>
        <w:snapToGrid w:val="0"/>
        <w:spacing w:before="120" w:beforeLines="50" w:line="288" w:lineRule="auto"/>
        <w:rPr>
          <w:rFonts w:eastAsia="宋体"/>
          <w:kern w:val="2"/>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6</w:t>
      </w:r>
      <w:r>
        <w:rPr>
          <w:rFonts w:ascii="Arial" w:hAnsi="Arial" w:cs="Arial"/>
          <w:b/>
          <w:sz w:val="24"/>
          <w:szCs w:val="24"/>
        </w:rPr>
        <w:t>. References</w:t>
      </w:r>
    </w:p>
    <w:p>
      <w:pPr>
        <w:numPr>
          <w:ilvl w:val="0"/>
          <w:numId w:val="14"/>
        </w:numPr>
        <w:snapToGrid w:val="0"/>
        <w:spacing w:before="120" w:beforeLines="50" w:line="288" w:lineRule="auto"/>
        <w:rPr>
          <w:rFonts w:eastAsia="宋体"/>
          <w:kern w:val="2"/>
          <w:sz w:val="21"/>
          <w:szCs w:val="21"/>
          <w:lang w:val="en-US" w:eastAsia="zh-CN"/>
        </w:rPr>
      </w:pPr>
      <w:r>
        <w:rPr>
          <w:sz w:val="21"/>
          <w:szCs w:val="21"/>
          <w:lang w:eastAsia="zh-CN"/>
        </w:rPr>
        <w:t xml:space="preserve">RP-234007, “New WID: NR MIMO Phase 5”, </w:t>
      </w:r>
      <w:r>
        <w:rPr>
          <w:rFonts w:eastAsia="宋体"/>
          <w:kern w:val="2"/>
          <w:sz w:val="21"/>
          <w:szCs w:val="21"/>
          <w:lang w:val="en-US" w:eastAsia="zh-CN"/>
        </w:rPr>
        <w:t>3GPP TSG RAN Meeting #102</w:t>
      </w:r>
      <w:r>
        <w:rPr>
          <w:rFonts w:hint="eastAsia" w:eastAsia="宋体"/>
          <w:kern w:val="2"/>
          <w:sz w:val="21"/>
          <w:szCs w:val="21"/>
          <w:lang w:val="en-US" w:eastAsia="zh-CN"/>
        </w:rPr>
        <w:t>，</w:t>
      </w:r>
      <w:r>
        <w:rPr>
          <w:rFonts w:eastAsia="宋体"/>
          <w:kern w:val="2"/>
          <w:sz w:val="21"/>
          <w:szCs w:val="21"/>
          <w:lang w:val="en-US" w:eastAsia="zh-CN"/>
        </w:rPr>
        <w:t>December 11-15, 2023</w:t>
      </w:r>
    </w:p>
    <w:p>
      <w:pPr>
        <w:numPr>
          <w:ilvl w:val="0"/>
          <w:numId w:val="14"/>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RAN1#11</w:t>
      </w:r>
      <w:r>
        <w:rPr>
          <w:rFonts w:hint="eastAsia" w:eastAsia="宋体"/>
          <w:kern w:val="2"/>
          <w:sz w:val="21"/>
          <w:szCs w:val="21"/>
          <w:lang w:val="en-US" w:eastAsia="zh-CN"/>
        </w:rPr>
        <w:t>8bis</w:t>
      </w:r>
      <w:r>
        <w:rPr>
          <w:rFonts w:eastAsia="宋体"/>
          <w:kern w:val="2"/>
          <w:sz w:val="21"/>
          <w:szCs w:val="21"/>
          <w:lang w:val="en-US" w:eastAsia="zh-CN"/>
        </w:rPr>
        <w:t xml:space="preserve">, RAN1 Chairman’s Notes, </w:t>
      </w:r>
      <w:r>
        <w:rPr>
          <w:rFonts w:hint="eastAsia" w:eastAsia="宋体"/>
          <w:kern w:val="2"/>
          <w:sz w:val="21"/>
          <w:szCs w:val="21"/>
          <w:lang w:val="en-US" w:eastAsia="zh-CN"/>
        </w:rPr>
        <w:t>Oct.</w:t>
      </w:r>
      <w:r>
        <w:rPr>
          <w:rFonts w:eastAsia="宋体"/>
          <w:kern w:val="2"/>
          <w:sz w:val="21"/>
          <w:szCs w:val="21"/>
          <w:lang w:val="en-US" w:eastAsia="zh-CN"/>
        </w:rPr>
        <w:t xml:space="preserve"> 202</w:t>
      </w:r>
      <w:r>
        <w:rPr>
          <w:rFonts w:hint="eastAsia" w:eastAsia="宋体"/>
          <w:kern w:val="2"/>
          <w:sz w:val="21"/>
          <w:szCs w:val="21"/>
          <w:lang w:val="en-US" w:eastAsia="zh-CN"/>
        </w:rPr>
        <w:t>4</w:t>
      </w:r>
    </w:p>
    <w:p>
      <w:pPr>
        <w:numPr>
          <w:ilvl w:val="0"/>
          <w:numId w:val="14"/>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RAN1#11</w:t>
      </w:r>
      <w:r>
        <w:rPr>
          <w:rFonts w:hint="eastAsia" w:eastAsia="宋体"/>
          <w:kern w:val="2"/>
          <w:sz w:val="21"/>
          <w:szCs w:val="21"/>
          <w:lang w:val="en-US" w:eastAsia="zh-CN"/>
        </w:rPr>
        <w:t>8</w:t>
      </w:r>
      <w:r>
        <w:rPr>
          <w:rFonts w:eastAsia="宋体"/>
          <w:kern w:val="2"/>
          <w:sz w:val="21"/>
          <w:szCs w:val="21"/>
          <w:lang w:val="en-US" w:eastAsia="zh-CN"/>
        </w:rPr>
        <w:t>, RAN1 Chairman’s Notes, Aug</w:t>
      </w:r>
      <w:r>
        <w:rPr>
          <w:rFonts w:hint="eastAsia" w:eastAsia="宋体"/>
          <w:kern w:val="2"/>
          <w:sz w:val="21"/>
          <w:szCs w:val="21"/>
          <w:lang w:val="en-US" w:eastAsia="zh-CN"/>
        </w:rPr>
        <w:t>.</w:t>
      </w:r>
      <w:r>
        <w:rPr>
          <w:rFonts w:eastAsia="宋体"/>
          <w:kern w:val="2"/>
          <w:sz w:val="21"/>
          <w:szCs w:val="21"/>
          <w:lang w:val="en-US" w:eastAsia="zh-CN"/>
        </w:rPr>
        <w:t xml:space="preserve"> 202</w:t>
      </w:r>
      <w:r>
        <w:rPr>
          <w:rFonts w:hint="eastAsia" w:eastAsia="宋体"/>
          <w:kern w:val="2"/>
          <w:sz w:val="21"/>
          <w:szCs w:val="21"/>
          <w:lang w:val="en-US" w:eastAsia="zh-CN"/>
        </w:rPr>
        <w:t>4</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PMingLiU">
    <w:altName w:val="Droid Sans Fallback"/>
    <w:panose1 w:val="02010601000101010101"/>
    <w:charset w:val="88"/>
    <w:family w:val="roman"/>
    <w:pitch w:val="default"/>
    <w:sig w:usb0="00000000" w:usb1="00000000" w:usb2="00000016" w:usb3="00000000" w:csb0="00100001" w:csb1="00000000"/>
  </w:font>
  <w:font w:name="Droid Sans Fallback">
    <w:panose1 w:val="020B0502000000000001"/>
    <w:charset w:val="86"/>
    <w:family w:val="auto"/>
    <w:pitch w:val="default"/>
    <w:sig w:usb0="910002FF" w:usb1="2BDFFCFB" w:usb2="00000036" w:usb3="00000000" w:csb0="203F01FF" w:csb1="D7FF0000"/>
  </w:font>
  <w:font w:name="MS Mincho">
    <w:altName w:val="方正书宋_GBK"/>
    <w:panose1 w:val="02020609040205080304"/>
    <w:charset w:val="80"/>
    <w:family w:val="modern"/>
    <w:pitch w:val="default"/>
    <w:sig w:usb0="00000000" w:usb1="00000000" w:usb2="08000012" w:usb3="00000000" w:csb0="0002009F" w:csb1="00000000"/>
  </w:font>
  <w:font w:name="仿宋">
    <w:altName w:val="微软雅黑"/>
    <w:panose1 w:val="02010609060101010101"/>
    <w:charset w:val="86"/>
    <w:family w:val="modern"/>
    <w:pitch w:val="default"/>
    <w:sig w:usb0="00000000" w:usb1="00000000" w:usb2="00000016" w:usb3="00000000" w:csb0="00040001"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6795E3B"/>
    <w:multiLevelType w:val="multilevel"/>
    <w:tmpl w:val="16795E3B"/>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2F6646"/>
    <w:multiLevelType w:val="multilevel"/>
    <w:tmpl w:val="192F6646"/>
    <w:lvl w:ilvl="0" w:tentative="0">
      <w:start w:val="1"/>
      <w:numFmt w:val="bullet"/>
      <w:lvlText w:val="•"/>
      <w:lvlJc w:val="left"/>
      <w:pPr>
        <w:ind w:left="440" w:hanging="440"/>
      </w:pPr>
      <w:rPr>
        <w:rFonts w:hint="default" w:ascii="Arial" w:hAnsi="Arial"/>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3DA52C3E"/>
    <w:multiLevelType w:val="multilevel"/>
    <w:tmpl w:val="3DA52C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6">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7">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5C7D8E72"/>
    <w:multiLevelType w:val="multilevel"/>
    <w:tmpl w:val="5C7D8E72"/>
    <w:lvl w:ilvl="0" w:tentative="0">
      <w:start w:val="1"/>
      <w:numFmt w:val="decimal"/>
      <w:pStyle w:val="3"/>
      <w:lvlText w:val="2.%1"/>
      <w:lvlJc w:val="left"/>
      <w:pPr>
        <w:ind w:left="360" w:hanging="360"/>
      </w:pPr>
      <w:rPr>
        <w:rFonts w:hint="default"/>
      </w:rPr>
    </w:lvl>
    <w:lvl w:ilvl="1" w:tentative="0">
      <w:start w:val="2"/>
      <w:numFmt w:val="none"/>
      <w:lvlRestart w:val="0"/>
      <w:isLgl/>
      <w:lvlText w:val="2.1"/>
      <w:lvlJc w:val="left"/>
      <w:pPr>
        <w:ind w:left="720" w:hanging="720"/>
      </w:pPr>
      <w:rPr>
        <w:rFonts w:hint="default"/>
      </w:rPr>
    </w:lvl>
    <w:lvl w:ilvl="2" w:tentative="0">
      <w:start w:val="3"/>
      <w:numFmt w:val="decimal"/>
      <w:isLgl/>
      <w:lvlText w:val="%1.%2.2"/>
      <w:lvlJc w:val="left"/>
      <w:pPr>
        <w:ind w:left="720" w:hanging="720"/>
      </w:pPr>
      <w:rPr>
        <w:rFonts w:hint="default"/>
      </w:rPr>
    </w:lvl>
    <w:lvl w:ilvl="3" w:tentative="0">
      <w:start w:val="1"/>
      <w:numFmt w:val="decimal"/>
      <w:isLgl/>
      <w:lvlText w:val="%1.%2.1.%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5F1912B1"/>
    <w:multiLevelType w:val="multilevel"/>
    <w:tmpl w:val="5F1912B1"/>
    <w:lvl w:ilvl="0" w:tentative="0">
      <w:start w:val="1"/>
      <w:numFmt w:val="bullet"/>
      <w:pStyle w:val="50"/>
      <w:lvlText w:val=""/>
      <w:lvlJc w:val="left"/>
      <w:pPr>
        <w:ind w:left="502" w:hanging="360"/>
      </w:pPr>
      <w:rPr>
        <w:rFonts w:hint="default" w:ascii="Symbol" w:hAnsi="Symbol"/>
      </w:rPr>
    </w:lvl>
    <w:lvl w:ilvl="1" w:tentative="0">
      <w:start w:val="1"/>
      <w:numFmt w:val="bullet"/>
      <w:pStyle w:val="51"/>
      <w:lvlText w:val="o"/>
      <w:lvlJc w:val="left"/>
      <w:pPr>
        <w:ind w:left="1440" w:hanging="360"/>
      </w:pPr>
      <w:rPr>
        <w:rFonts w:hint="default" w:ascii="Courier New" w:hAnsi="Courier New" w:cs="Courier New"/>
      </w:rPr>
    </w:lvl>
    <w:lvl w:ilvl="2" w:tentative="0">
      <w:start w:val="1"/>
      <w:numFmt w:val="bullet"/>
      <w:pStyle w:val="53"/>
      <w:lvlText w:val=""/>
      <w:lvlJc w:val="left"/>
      <w:pPr>
        <w:ind w:left="2160" w:hanging="360"/>
      </w:pPr>
      <w:rPr>
        <w:rFonts w:hint="default" w:ascii="Wingdings" w:hAnsi="Wingdings"/>
      </w:rPr>
    </w:lvl>
    <w:lvl w:ilvl="3" w:tentative="0">
      <w:start w:val="1"/>
      <w:numFmt w:val="bullet"/>
      <w:pStyle w:val="5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1">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E4B0A8B"/>
    <w:multiLevelType w:val="multilevel"/>
    <w:tmpl w:val="6E4B0A8B"/>
    <w:lvl w:ilvl="0" w:tentative="0">
      <w:start w:val="0"/>
      <w:numFmt w:val="bullet"/>
      <w:lvlText w:val="•"/>
      <w:lvlJc w:val="left"/>
      <w:pPr>
        <w:ind w:left="440" w:hanging="440"/>
      </w:pPr>
      <w:rPr>
        <w:rFonts w:hint="default" w:ascii="Arial" w:hAnsi="Arial"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7FB05625"/>
    <w:multiLevelType w:val="multilevel"/>
    <w:tmpl w:val="7FB05625"/>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8"/>
  </w:num>
  <w:num w:numId="2">
    <w:abstractNumId w:val="10"/>
  </w:num>
  <w:num w:numId="3">
    <w:abstractNumId w:val="5"/>
  </w:num>
  <w:num w:numId="4">
    <w:abstractNumId w:val="7"/>
  </w:num>
  <w:num w:numId="5">
    <w:abstractNumId w:val="3"/>
  </w:num>
  <w:num w:numId="6">
    <w:abstractNumId w:val="9"/>
  </w:num>
  <w:num w:numId="7">
    <w:abstractNumId w:val="11"/>
  </w:num>
  <w:num w:numId="8">
    <w:abstractNumId w:val="13"/>
  </w:num>
  <w:num w:numId="9">
    <w:abstractNumId w:val="4"/>
  </w:num>
  <w:num w:numId="10">
    <w:abstractNumId w:val="2"/>
  </w:num>
  <w:num w:numId="11">
    <w:abstractNumId w:val="6"/>
  </w:num>
  <w:num w:numId="12">
    <w:abstractNumId w:val="1"/>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306C"/>
    <w:rsid w:val="00003882"/>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17F70"/>
    <w:rsid w:val="000200E0"/>
    <w:rsid w:val="000212C4"/>
    <w:rsid w:val="00023444"/>
    <w:rsid w:val="00024383"/>
    <w:rsid w:val="000258AE"/>
    <w:rsid w:val="00027735"/>
    <w:rsid w:val="00027D8F"/>
    <w:rsid w:val="0003320A"/>
    <w:rsid w:val="0003357B"/>
    <w:rsid w:val="000339F9"/>
    <w:rsid w:val="000350B5"/>
    <w:rsid w:val="0003538C"/>
    <w:rsid w:val="00035491"/>
    <w:rsid w:val="00035816"/>
    <w:rsid w:val="00035E1A"/>
    <w:rsid w:val="00036B2B"/>
    <w:rsid w:val="000424B5"/>
    <w:rsid w:val="00043B12"/>
    <w:rsid w:val="00043C7F"/>
    <w:rsid w:val="000462DE"/>
    <w:rsid w:val="00046353"/>
    <w:rsid w:val="000463C4"/>
    <w:rsid w:val="00046D55"/>
    <w:rsid w:val="00047B64"/>
    <w:rsid w:val="00050B39"/>
    <w:rsid w:val="0005150C"/>
    <w:rsid w:val="00053070"/>
    <w:rsid w:val="0005317F"/>
    <w:rsid w:val="0005383E"/>
    <w:rsid w:val="000546D6"/>
    <w:rsid w:val="0005513D"/>
    <w:rsid w:val="00055E6E"/>
    <w:rsid w:val="00055FF7"/>
    <w:rsid w:val="00057A83"/>
    <w:rsid w:val="00060DCF"/>
    <w:rsid w:val="000627D2"/>
    <w:rsid w:val="000631B0"/>
    <w:rsid w:val="00067DAC"/>
    <w:rsid w:val="00070F5B"/>
    <w:rsid w:val="000711E3"/>
    <w:rsid w:val="00071954"/>
    <w:rsid w:val="00071BB1"/>
    <w:rsid w:val="0007212D"/>
    <w:rsid w:val="00073BE1"/>
    <w:rsid w:val="00074E69"/>
    <w:rsid w:val="000778C5"/>
    <w:rsid w:val="000778F4"/>
    <w:rsid w:val="00080A05"/>
    <w:rsid w:val="0008110E"/>
    <w:rsid w:val="0008450F"/>
    <w:rsid w:val="00086659"/>
    <w:rsid w:val="00090059"/>
    <w:rsid w:val="000907E6"/>
    <w:rsid w:val="0009090D"/>
    <w:rsid w:val="000914A5"/>
    <w:rsid w:val="00093CD9"/>
    <w:rsid w:val="00094785"/>
    <w:rsid w:val="0009518E"/>
    <w:rsid w:val="000A0060"/>
    <w:rsid w:val="000A0D3F"/>
    <w:rsid w:val="000A16E3"/>
    <w:rsid w:val="000A1E0A"/>
    <w:rsid w:val="000A234B"/>
    <w:rsid w:val="000A3FDE"/>
    <w:rsid w:val="000A6C8B"/>
    <w:rsid w:val="000B1A96"/>
    <w:rsid w:val="000B1E99"/>
    <w:rsid w:val="000B2146"/>
    <w:rsid w:val="000B3887"/>
    <w:rsid w:val="000B478F"/>
    <w:rsid w:val="000C2583"/>
    <w:rsid w:val="000C2D7E"/>
    <w:rsid w:val="000C3063"/>
    <w:rsid w:val="000C48DA"/>
    <w:rsid w:val="000C70B8"/>
    <w:rsid w:val="000D0FEE"/>
    <w:rsid w:val="000D14D9"/>
    <w:rsid w:val="000D3A2D"/>
    <w:rsid w:val="000D6F7F"/>
    <w:rsid w:val="000E1087"/>
    <w:rsid w:val="000E1329"/>
    <w:rsid w:val="000E1825"/>
    <w:rsid w:val="000E2252"/>
    <w:rsid w:val="000E454C"/>
    <w:rsid w:val="000E7253"/>
    <w:rsid w:val="000F1664"/>
    <w:rsid w:val="000F3AF9"/>
    <w:rsid w:val="00102EA2"/>
    <w:rsid w:val="00104445"/>
    <w:rsid w:val="00107AA1"/>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7656"/>
    <w:rsid w:val="00132D8E"/>
    <w:rsid w:val="00134155"/>
    <w:rsid w:val="00134245"/>
    <w:rsid w:val="0013570F"/>
    <w:rsid w:val="00137C48"/>
    <w:rsid w:val="00137E1B"/>
    <w:rsid w:val="00142BFD"/>
    <w:rsid w:val="00145113"/>
    <w:rsid w:val="00145B43"/>
    <w:rsid w:val="001468C2"/>
    <w:rsid w:val="00146F4F"/>
    <w:rsid w:val="0014728E"/>
    <w:rsid w:val="00150741"/>
    <w:rsid w:val="001508C8"/>
    <w:rsid w:val="00150E47"/>
    <w:rsid w:val="00154292"/>
    <w:rsid w:val="00154586"/>
    <w:rsid w:val="00156BA4"/>
    <w:rsid w:val="00157D03"/>
    <w:rsid w:val="00160E45"/>
    <w:rsid w:val="00162DB2"/>
    <w:rsid w:val="00163E78"/>
    <w:rsid w:val="0016650D"/>
    <w:rsid w:val="001666A3"/>
    <w:rsid w:val="00166774"/>
    <w:rsid w:val="00167E27"/>
    <w:rsid w:val="00171939"/>
    <w:rsid w:val="00172212"/>
    <w:rsid w:val="0017361C"/>
    <w:rsid w:val="00173AA3"/>
    <w:rsid w:val="00173BA8"/>
    <w:rsid w:val="001747D3"/>
    <w:rsid w:val="00176C84"/>
    <w:rsid w:val="0018008C"/>
    <w:rsid w:val="00180763"/>
    <w:rsid w:val="0018094F"/>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5072"/>
    <w:rsid w:val="001C72E9"/>
    <w:rsid w:val="001C791C"/>
    <w:rsid w:val="001C7EE8"/>
    <w:rsid w:val="001D06C1"/>
    <w:rsid w:val="001D1753"/>
    <w:rsid w:val="001D1D7C"/>
    <w:rsid w:val="001D2C0A"/>
    <w:rsid w:val="001D30C6"/>
    <w:rsid w:val="001D36B7"/>
    <w:rsid w:val="001D433C"/>
    <w:rsid w:val="001D4CC0"/>
    <w:rsid w:val="001D54B3"/>
    <w:rsid w:val="001D54D7"/>
    <w:rsid w:val="001D7286"/>
    <w:rsid w:val="001E1B89"/>
    <w:rsid w:val="001E3E49"/>
    <w:rsid w:val="001E45AB"/>
    <w:rsid w:val="001E48C7"/>
    <w:rsid w:val="001E7F59"/>
    <w:rsid w:val="001F0B95"/>
    <w:rsid w:val="001F1ADD"/>
    <w:rsid w:val="001F2A17"/>
    <w:rsid w:val="001F32F5"/>
    <w:rsid w:val="001F47E1"/>
    <w:rsid w:val="001F48E5"/>
    <w:rsid w:val="00200A26"/>
    <w:rsid w:val="00200DA4"/>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7087"/>
    <w:rsid w:val="0023736B"/>
    <w:rsid w:val="0023737A"/>
    <w:rsid w:val="002403FB"/>
    <w:rsid w:val="00241994"/>
    <w:rsid w:val="00241B83"/>
    <w:rsid w:val="00244262"/>
    <w:rsid w:val="0024744C"/>
    <w:rsid w:val="00247FA1"/>
    <w:rsid w:val="00250515"/>
    <w:rsid w:val="0025471B"/>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BC1"/>
    <w:rsid w:val="00283D74"/>
    <w:rsid w:val="00284E0A"/>
    <w:rsid w:val="00284E59"/>
    <w:rsid w:val="00285518"/>
    <w:rsid w:val="00286965"/>
    <w:rsid w:val="00287A85"/>
    <w:rsid w:val="002900E1"/>
    <w:rsid w:val="002903FA"/>
    <w:rsid w:val="00290AC9"/>
    <w:rsid w:val="002913D8"/>
    <w:rsid w:val="002915E2"/>
    <w:rsid w:val="00291EE3"/>
    <w:rsid w:val="00293444"/>
    <w:rsid w:val="00294F17"/>
    <w:rsid w:val="002969CC"/>
    <w:rsid w:val="002969EF"/>
    <w:rsid w:val="00296A32"/>
    <w:rsid w:val="00297C25"/>
    <w:rsid w:val="002A15DF"/>
    <w:rsid w:val="002A15E5"/>
    <w:rsid w:val="002A6550"/>
    <w:rsid w:val="002B037A"/>
    <w:rsid w:val="002B25FC"/>
    <w:rsid w:val="002B3561"/>
    <w:rsid w:val="002B39E7"/>
    <w:rsid w:val="002B3A9B"/>
    <w:rsid w:val="002B4931"/>
    <w:rsid w:val="002B6070"/>
    <w:rsid w:val="002B670C"/>
    <w:rsid w:val="002B68F5"/>
    <w:rsid w:val="002B6A0C"/>
    <w:rsid w:val="002B7EF9"/>
    <w:rsid w:val="002C0D0F"/>
    <w:rsid w:val="002C2E8D"/>
    <w:rsid w:val="002C3A5A"/>
    <w:rsid w:val="002C3B52"/>
    <w:rsid w:val="002C4669"/>
    <w:rsid w:val="002C59FD"/>
    <w:rsid w:val="002C7B0C"/>
    <w:rsid w:val="002D02FD"/>
    <w:rsid w:val="002D0AE0"/>
    <w:rsid w:val="002D1CEE"/>
    <w:rsid w:val="002D413B"/>
    <w:rsid w:val="002D540F"/>
    <w:rsid w:val="002D6216"/>
    <w:rsid w:val="002E00DD"/>
    <w:rsid w:val="002E037A"/>
    <w:rsid w:val="002E0715"/>
    <w:rsid w:val="002E19CC"/>
    <w:rsid w:val="002E2DF4"/>
    <w:rsid w:val="002F1844"/>
    <w:rsid w:val="002F3805"/>
    <w:rsid w:val="002F43A5"/>
    <w:rsid w:val="002F5341"/>
    <w:rsid w:val="002F64CF"/>
    <w:rsid w:val="002F74E9"/>
    <w:rsid w:val="002F7FBF"/>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377BC"/>
    <w:rsid w:val="0034015E"/>
    <w:rsid w:val="0034159F"/>
    <w:rsid w:val="00341BC3"/>
    <w:rsid w:val="0034241B"/>
    <w:rsid w:val="00342E8D"/>
    <w:rsid w:val="0034347D"/>
    <w:rsid w:val="00346547"/>
    <w:rsid w:val="0034707B"/>
    <w:rsid w:val="00347E01"/>
    <w:rsid w:val="00347FFE"/>
    <w:rsid w:val="00351B3F"/>
    <w:rsid w:val="00351DC1"/>
    <w:rsid w:val="00351DFB"/>
    <w:rsid w:val="00353882"/>
    <w:rsid w:val="00354FC3"/>
    <w:rsid w:val="00355B76"/>
    <w:rsid w:val="00355FFF"/>
    <w:rsid w:val="003568A4"/>
    <w:rsid w:val="003601D9"/>
    <w:rsid w:val="003605F0"/>
    <w:rsid w:val="00361E3D"/>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56BE"/>
    <w:rsid w:val="00386569"/>
    <w:rsid w:val="00386B29"/>
    <w:rsid w:val="003874AB"/>
    <w:rsid w:val="00387A7D"/>
    <w:rsid w:val="003900CF"/>
    <w:rsid w:val="00390DD7"/>
    <w:rsid w:val="00393840"/>
    <w:rsid w:val="00393920"/>
    <w:rsid w:val="0039555A"/>
    <w:rsid w:val="003961C9"/>
    <w:rsid w:val="003977C8"/>
    <w:rsid w:val="003A01C8"/>
    <w:rsid w:val="003A1152"/>
    <w:rsid w:val="003A1284"/>
    <w:rsid w:val="003A358A"/>
    <w:rsid w:val="003A45AE"/>
    <w:rsid w:val="003A48F2"/>
    <w:rsid w:val="003A54C5"/>
    <w:rsid w:val="003A740E"/>
    <w:rsid w:val="003A77AF"/>
    <w:rsid w:val="003B25D3"/>
    <w:rsid w:val="003B2BC3"/>
    <w:rsid w:val="003B31AB"/>
    <w:rsid w:val="003B3E6C"/>
    <w:rsid w:val="003B5434"/>
    <w:rsid w:val="003C0B5C"/>
    <w:rsid w:val="003C2135"/>
    <w:rsid w:val="003C56D1"/>
    <w:rsid w:val="003C68BE"/>
    <w:rsid w:val="003C6CD1"/>
    <w:rsid w:val="003C7B6F"/>
    <w:rsid w:val="003D04BE"/>
    <w:rsid w:val="003D0A73"/>
    <w:rsid w:val="003D26B5"/>
    <w:rsid w:val="003D35B5"/>
    <w:rsid w:val="003D3D7E"/>
    <w:rsid w:val="003D63B4"/>
    <w:rsid w:val="003D69F4"/>
    <w:rsid w:val="003D77B5"/>
    <w:rsid w:val="003E053F"/>
    <w:rsid w:val="003E076C"/>
    <w:rsid w:val="003E0811"/>
    <w:rsid w:val="003E3644"/>
    <w:rsid w:val="003E3CB2"/>
    <w:rsid w:val="003E4574"/>
    <w:rsid w:val="003E5CA9"/>
    <w:rsid w:val="003E6155"/>
    <w:rsid w:val="003E762C"/>
    <w:rsid w:val="003F2D5A"/>
    <w:rsid w:val="003F2FDF"/>
    <w:rsid w:val="003F579B"/>
    <w:rsid w:val="00401E93"/>
    <w:rsid w:val="00401ED6"/>
    <w:rsid w:val="00401F69"/>
    <w:rsid w:val="00402131"/>
    <w:rsid w:val="0040233D"/>
    <w:rsid w:val="004037CA"/>
    <w:rsid w:val="004041CC"/>
    <w:rsid w:val="004043BC"/>
    <w:rsid w:val="00405036"/>
    <w:rsid w:val="00405170"/>
    <w:rsid w:val="00406DEB"/>
    <w:rsid w:val="0041071C"/>
    <w:rsid w:val="00410768"/>
    <w:rsid w:val="00411227"/>
    <w:rsid w:val="00411842"/>
    <w:rsid w:val="004132E1"/>
    <w:rsid w:val="0041349D"/>
    <w:rsid w:val="004136CF"/>
    <w:rsid w:val="00414AAB"/>
    <w:rsid w:val="00415215"/>
    <w:rsid w:val="00417A4A"/>
    <w:rsid w:val="004203D9"/>
    <w:rsid w:val="004208B7"/>
    <w:rsid w:val="00421A92"/>
    <w:rsid w:val="004224BC"/>
    <w:rsid w:val="0042362C"/>
    <w:rsid w:val="0042595B"/>
    <w:rsid w:val="00427ADC"/>
    <w:rsid w:val="004304DA"/>
    <w:rsid w:val="00432349"/>
    <w:rsid w:val="004342EE"/>
    <w:rsid w:val="004403DF"/>
    <w:rsid w:val="004409DD"/>
    <w:rsid w:val="00442B7B"/>
    <w:rsid w:val="00446A36"/>
    <w:rsid w:val="004501D6"/>
    <w:rsid w:val="00450D94"/>
    <w:rsid w:val="00451487"/>
    <w:rsid w:val="00452171"/>
    <w:rsid w:val="004523AA"/>
    <w:rsid w:val="004535DC"/>
    <w:rsid w:val="00455515"/>
    <w:rsid w:val="00456CA8"/>
    <w:rsid w:val="00460448"/>
    <w:rsid w:val="004607C3"/>
    <w:rsid w:val="00461621"/>
    <w:rsid w:val="00463171"/>
    <w:rsid w:val="0046459B"/>
    <w:rsid w:val="00464A09"/>
    <w:rsid w:val="00464F81"/>
    <w:rsid w:val="00465058"/>
    <w:rsid w:val="0046543D"/>
    <w:rsid w:val="00467C3B"/>
    <w:rsid w:val="00470B67"/>
    <w:rsid w:val="00470CA6"/>
    <w:rsid w:val="00470E47"/>
    <w:rsid w:val="00471EC5"/>
    <w:rsid w:val="004726D8"/>
    <w:rsid w:val="00472807"/>
    <w:rsid w:val="004731B3"/>
    <w:rsid w:val="00475245"/>
    <w:rsid w:val="00476994"/>
    <w:rsid w:val="00477091"/>
    <w:rsid w:val="00480493"/>
    <w:rsid w:val="0048077C"/>
    <w:rsid w:val="004807A8"/>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24A1"/>
    <w:rsid w:val="004B3178"/>
    <w:rsid w:val="004B4857"/>
    <w:rsid w:val="004B4F1F"/>
    <w:rsid w:val="004B5FE3"/>
    <w:rsid w:val="004B64AC"/>
    <w:rsid w:val="004B7FB7"/>
    <w:rsid w:val="004C0728"/>
    <w:rsid w:val="004C3625"/>
    <w:rsid w:val="004C4AA0"/>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334"/>
    <w:rsid w:val="004E6C15"/>
    <w:rsid w:val="004F0845"/>
    <w:rsid w:val="004F0E61"/>
    <w:rsid w:val="004F113C"/>
    <w:rsid w:val="004F2730"/>
    <w:rsid w:val="004F3DBD"/>
    <w:rsid w:val="004F5574"/>
    <w:rsid w:val="004F5CDB"/>
    <w:rsid w:val="004F6104"/>
    <w:rsid w:val="004F6111"/>
    <w:rsid w:val="004F61E9"/>
    <w:rsid w:val="004F6A21"/>
    <w:rsid w:val="004F6D94"/>
    <w:rsid w:val="005015CE"/>
    <w:rsid w:val="00501CAE"/>
    <w:rsid w:val="00501F3F"/>
    <w:rsid w:val="00505922"/>
    <w:rsid w:val="005059A0"/>
    <w:rsid w:val="0050658B"/>
    <w:rsid w:val="005075A6"/>
    <w:rsid w:val="00507B7D"/>
    <w:rsid w:val="0051108E"/>
    <w:rsid w:val="005118AA"/>
    <w:rsid w:val="00511B9A"/>
    <w:rsid w:val="005125A0"/>
    <w:rsid w:val="0051394A"/>
    <w:rsid w:val="00513958"/>
    <w:rsid w:val="00514373"/>
    <w:rsid w:val="00514628"/>
    <w:rsid w:val="0051526B"/>
    <w:rsid w:val="005159A2"/>
    <w:rsid w:val="0051697F"/>
    <w:rsid w:val="00517817"/>
    <w:rsid w:val="005179C3"/>
    <w:rsid w:val="00517CBD"/>
    <w:rsid w:val="005217FA"/>
    <w:rsid w:val="00521EEE"/>
    <w:rsid w:val="00522C05"/>
    <w:rsid w:val="00525E79"/>
    <w:rsid w:val="0052697F"/>
    <w:rsid w:val="00531CBF"/>
    <w:rsid w:val="00531EDA"/>
    <w:rsid w:val="00533034"/>
    <w:rsid w:val="00535C06"/>
    <w:rsid w:val="00536199"/>
    <w:rsid w:val="005367AA"/>
    <w:rsid w:val="005406DA"/>
    <w:rsid w:val="00542270"/>
    <w:rsid w:val="005422B5"/>
    <w:rsid w:val="005438D2"/>
    <w:rsid w:val="0054573A"/>
    <w:rsid w:val="00550EF8"/>
    <w:rsid w:val="0055124A"/>
    <w:rsid w:val="0055234A"/>
    <w:rsid w:val="00553FF7"/>
    <w:rsid w:val="00555032"/>
    <w:rsid w:val="005560D6"/>
    <w:rsid w:val="005564C9"/>
    <w:rsid w:val="00557563"/>
    <w:rsid w:val="00557EA2"/>
    <w:rsid w:val="005618C3"/>
    <w:rsid w:val="00562723"/>
    <w:rsid w:val="00562AD5"/>
    <w:rsid w:val="00565751"/>
    <w:rsid w:val="00570408"/>
    <w:rsid w:val="005707ED"/>
    <w:rsid w:val="005714D8"/>
    <w:rsid w:val="005729CA"/>
    <w:rsid w:val="00574AE9"/>
    <w:rsid w:val="0057518A"/>
    <w:rsid w:val="00580F1F"/>
    <w:rsid w:val="005837BE"/>
    <w:rsid w:val="00584968"/>
    <w:rsid w:val="00585E8C"/>
    <w:rsid w:val="0058675F"/>
    <w:rsid w:val="00586814"/>
    <w:rsid w:val="00586891"/>
    <w:rsid w:val="00586EAB"/>
    <w:rsid w:val="005871CF"/>
    <w:rsid w:val="00587AC6"/>
    <w:rsid w:val="00587EE4"/>
    <w:rsid w:val="00590965"/>
    <w:rsid w:val="00592039"/>
    <w:rsid w:val="0059444C"/>
    <w:rsid w:val="0059456A"/>
    <w:rsid w:val="0059521F"/>
    <w:rsid w:val="00596ADF"/>
    <w:rsid w:val="005A0DD4"/>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D0A97"/>
    <w:rsid w:val="005D1729"/>
    <w:rsid w:val="005D1ABC"/>
    <w:rsid w:val="005D20F1"/>
    <w:rsid w:val="005D3436"/>
    <w:rsid w:val="005D445A"/>
    <w:rsid w:val="005D4F1D"/>
    <w:rsid w:val="005D5DF7"/>
    <w:rsid w:val="005D6CDE"/>
    <w:rsid w:val="005D780B"/>
    <w:rsid w:val="005E0B4F"/>
    <w:rsid w:val="005E13C2"/>
    <w:rsid w:val="005E294F"/>
    <w:rsid w:val="005E34D4"/>
    <w:rsid w:val="005E44BD"/>
    <w:rsid w:val="005E580A"/>
    <w:rsid w:val="005E6419"/>
    <w:rsid w:val="005E729E"/>
    <w:rsid w:val="005F645B"/>
    <w:rsid w:val="00601139"/>
    <w:rsid w:val="00601726"/>
    <w:rsid w:val="00602908"/>
    <w:rsid w:val="006030B5"/>
    <w:rsid w:val="00603FD9"/>
    <w:rsid w:val="00605778"/>
    <w:rsid w:val="006063B4"/>
    <w:rsid w:val="006063F7"/>
    <w:rsid w:val="0060652E"/>
    <w:rsid w:val="00606666"/>
    <w:rsid w:val="00610AFE"/>
    <w:rsid w:val="00610DEC"/>
    <w:rsid w:val="00611E7E"/>
    <w:rsid w:val="00613F71"/>
    <w:rsid w:val="00614FD1"/>
    <w:rsid w:val="0061591C"/>
    <w:rsid w:val="006166B2"/>
    <w:rsid w:val="0061758E"/>
    <w:rsid w:val="00617A05"/>
    <w:rsid w:val="006205D8"/>
    <w:rsid w:val="006217CE"/>
    <w:rsid w:val="00621D5B"/>
    <w:rsid w:val="006259AB"/>
    <w:rsid w:val="006270DF"/>
    <w:rsid w:val="0062736B"/>
    <w:rsid w:val="0063692E"/>
    <w:rsid w:val="0063710B"/>
    <w:rsid w:val="00640993"/>
    <w:rsid w:val="00640C1D"/>
    <w:rsid w:val="00642684"/>
    <w:rsid w:val="00643884"/>
    <w:rsid w:val="00644C17"/>
    <w:rsid w:val="0064519F"/>
    <w:rsid w:val="006453F2"/>
    <w:rsid w:val="0064651D"/>
    <w:rsid w:val="00647114"/>
    <w:rsid w:val="00647C49"/>
    <w:rsid w:val="006504AA"/>
    <w:rsid w:val="00651E10"/>
    <w:rsid w:val="00652D31"/>
    <w:rsid w:val="006537DD"/>
    <w:rsid w:val="006539A8"/>
    <w:rsid w:val="006559C4"/>
    <w:rsid w:val="00656A3C"/>
    <w:rsid w:val="00660CF9"/>
    <w:rsid w:val="0066260A"/>
    <w:rsid w:val="0066291E"/>
    <w:rsid w:val="00662C40"/>
    <w:rsid w:val="00663666"/>
    <w:rsid w:val="0066396F"/>
    <w:rsid w:val="00663FD2"/>
    <w:rsid w:val="00664411"/>
    <w:rsid w:val="00664F5C"/>
    <w:rsid w:val="00665F43"/>
    <w:rsid w:val="00666BCD"/>
    <w:rsid w:val="00666E8F"/>
    <w:rsid w:val="00671C28"/>
    <w:rsid w:val="00672386"/>
    <w:rsid w:val="00673582"/>
    <w:rsid w:val="00673FA0"/>
    <w:rsid w:val="00676AA8"/>
    <w:rsid w:val="00680B00"/>
    <w:rsid w:val="00681256"/>
    <w:rsid w:val="006824E0"/>
    <w:rsid w:val="006826EE"/>
    <w:rsid w:val="00683CCF"/>
    <w:rsid w:val="00684075"/>
    <w:rsid w:val="0068568C"/>
    <w:rsid w:val="006863F0"/>
    <w:rsid w:val="0068726F"/>
    <w:rsid w:val="006878AD"/>
    <w:rsid w:val="0069099C"/>
    <w:rsid w:val="00695D25"/>
    <w:rsid w:val="0069718A"/>
    <w:rsid w:val="00697D4D"/>
    <w:rsid w:val="006A06F6"/>
    <w:rsid w:val="006A1456"/>
    <w:rsid w:val="006A71A1"/>
    <w:rsid w:val="006A78E5"/>
    <w:rsid w:val="006B0009"/>
    <w:rsid w:val="006B0DF7"/>
    <w:rsid w:val="006B193F"/>
    <w:rsid w:val="006B2F00"/>
    <w:rsid w:val="006B575E"/>
    <w:rsid w:val="006B75E4"/>
    <w:rsid w:val="006C017A"/>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56D3"/>
    <w:rsid w:val="007063F3"/>
    <w:rsid w:val="00706770"/>
    <w:rsid w:val="00710780"/>
    <w:rsid w:val="007107A5"/>
    <w:rsid w:val="00711BFF"/>
    <w:rsid w:val="00712069"/>
    <w:rsid w:val="00713008"/>
    <w:rsid w:val="00713667"/>
    <w:rsid w:val="00713B14"/>
    <w:rsid w:val="0071683B"/>
    <w:rsid w:val="00720220"/>
    <w:rsid w:val="00720A73"/>
    <w:rsid w:val="00720F95"/>
    <w:rsid w:val="00721B08"/>
    <w:rsid w:val="00721D86"/>
    <w:rsid w:val="007220E7"/>
    <w:rsid w:val="00722408"/>
    <w:rsid w:val="00722A5F"/>
    <w:rsid w:val="00723276"/>
    <w:rsid w:val="00725AAA"/>
    <w:rsid w:val="00726B9B"/>
    <w:rsid w:val="007271D1"/>
    <w:rsid w:val="00727E8B"/>
    <w:rsid w:val="00732133"/>
    <w:rsid w:val="00733E02"/>
    <w:rsid w:val="0073546E"/>
    <w:rsid w:val="00736383"/>
    <w:rsid w:val="00737EEA"/>
    <w:rsid w:val="00743489"/>
    <w:rsid w:val="007447D0"/>
    <w:rsid w:val="00745074"/>
    <w:rsid w:val="00745F3C"/>
    <w:rsid w:val="0074648B"/>
    <w:rsid w:val="00746CFA"/>
    <w:rsid w:val="00747A36"/>
    <w:rsid w:val="007545EF"/>
    <w:rsid w:val="0075468E"/>
    <w:rsid w:val="00754780"/>
    <w:rsid w:val="00755957"/>
    <w:rsid w:val="00755B54"/>
    <w:rsid w:val="00755D84"/>
    <w:rsid w:val="00756B1A"/>
    <w:rsid w:val="00757C77"/>
    <w:rsid w:val="00757EFD"/>
    <w:rsid w:val="00757FDE"/>
    <w:rsid w:val="00760824"/>
    <w:rsid w:val="00762213"/>
    <w:rsid w:val="0076254D"/>
    <w:rsid w:val="00762C2D"/>
    <w:rsid w:val="00763808"/>
    <w:rsid w:val="00763B6E"/>
    <w:rsid w:val="00763C55"/>
    <w:rsid w:val="0076698E"/>
    <w:rsid w:val="00767C2B"/>
    <w:rsid w:val="0077157D"/>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3F27"/>
    <w:rsid w:val="00795BC0"/>
    <w:rsid w:val="0079720A"/>
    <w:rsid w:val="007A05FE"/>
    <w:rsid w:val="007A1C90"/>
    <w:rsid w:val="007A1CC6"/>
    <w:rsid w:val="007A40A6"/>
    <w:rsid w:val="007A6BE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66F"/>
    <w:rsid w:val="007C69B2"/>
    <w:rsid w:val="007C6D8D"/>
    <w:rsid w:val="007C7851"/>
    <w:rsid w:val="007D1456"/>
    <w:rsid w:val="007D1787"/>
    <w:rsid w:val="007D1B9A"/>
    <w:rsid w:val="007D3992"/>
    <w:rsid w:val="007D399A"/>
    <w:rsid w:val="007D4F44"/>
    <w:rsid w:val="007D56F6"/>
    <w:rsid w:val="007D5958"/>
    <w:rsid w:val="007E186D"/>
    <w:rsid w:val="007E200E"/>
    <w:rsid w:val="007E22B0"/>
    <w:rsid w:val="007E2EB4"/>
    <w:rsid w:val="007E3508"/>
    <w:rsid w:val="007F01CD"/>
    <w:rsid w:val="007F0B00"/>
    <w:rsid w:val="007F28CD"/>
    <w:rsid w:val="007F6755"/>
    <w:rsid w:val="008028EC"/>
    <w:rsid w:val="00807483"/>
    <w:rsid w:val="00807560"/>
    <w:rsid w:val="0080765E"/>
    <w:rsid w:val="00810565"/>
    <w:rsid w:val="00813AB8"/>
    <w:rsid w:val="00813DD0"/>
    <w:rsid w:val="0081466A"/>
    <w:rsid w:val="00814E5B"/>
    <w:rsid w:val="008171A3"/>
    <w:rsid w:val="008206CD"/>
    <w:rsid w:val="00822C65"/>
    <w:rsid w:val="00824D0C"/>
    <w:rsid w:val="00824DD2"/>
    <w:rsid w:val="00825EE3"/>
    <w:rsid w:val="00826861"/>
    <w:rsid w:val="00827601"/>
    <w:rsid w:val="00827A61"/>
    <w:rsid w:val="00827AC8"/>
    <w:rsid w:val="00827CF0"/>
    <w:rsid w:val="0083261B"/>
    <w:rsid w:val="0083296B"/>
    <w:rsid w:val="00832DD4"/>
    <w:rsid w:val="0083394D"/>
    <w:rsid w:val="00836CBB"/>
    <w:rsid w:val="008400A7"/>
    <w:rsid w:val="00840ACF"/>
    <w:rsid w:val="00842741"/>
    <w:rsid w:val="0084342D"/>
    <w:rsid w:val="008447CE"/>
    <w:rsid w:val="00845FA4"/>
    <w:rsid w:val="008462F0"/>
    <w:rsid w:val="008511D0"/>
    <w:rsid w:val="008512F7"/>
    <w:rsid w:val="00851FE9"/>
    <w:rsid w:val="00852FF8"/>
    <w:rsid w:val="00853733"/>
    <w:rsid w:val="00856899"/>
    <w:rsid w:val="00856F81"/>
    <w:rsid w:val="00861E38"/>
    <w:rsid w:val="00862B0B"/>
    <w:rsid w:val="0086326B"/>
    <w:rsid w:val="0086610E"/>
    <w:rsid w:val="00870804"/>
    <w:rsid w:val="00871746"/>
    <w:rsid w:val="00872E30"/>
    <w:rsid w:val="00874687"/>
    <w:rsid w:val="00880339"/>
    <w:rsid w:val="008820A7"/>
    <w:rsid w:val="00882235"/>
    <w:rsid w:val="00886EE8"/>
    <w:rsid w:val="00890FA9"/>
    <w:rsid w:val="008919B8"/>
    <w:rsid w:val="00891DA5"/>
    <w:rsid w:val="0089488E"/>
    <w:rsid w:val="008966BC"/>
    <w:rsid w:val="0089729B"/>
    <w:rsid w:val="008A0301"/>
    <w:rsid w:val="008A14F3"/>
    <w:rsid w:val="008A1943"/>
    <w:rsid w:val="008A566A"/>
    <w:rsid w:val="008B0D49"/>
    <w:rsid w:val="008B19BB"/>
    <w:rsid w:val="008B3A44"/>
    <w:rsid w:val="008B4846"/>
    <w:rsid w:val="008B4E4B"/>
    <w:rsid w:val="008B52B7"/>
    <w:rsid w:val="008B571C"/>
    <w:rsid w:val="008B762F"/>
    <w:rsid w:val="008B7D8D"/>
    <w:rsid w:val="008C0621"/>
    <w:rsid w:val="008C107C"/>
    <w:rsid w:val="008C1FC5"/>
    <w:rsid w:val="008C4743"/>
    <w:rsid w:val="008C5207"/>
    <w:rsid w:val="008C769C"/>
    <w:rsid w:val="008D01FC"/>
    <w:rsid w:val="008D1A77"/>
    <w:rsid w:val="008D3EB6"/>
    <w:rsid w:val="008D5B81"/>
    <w:rsid w:val="008D5D5A"/>
    <w:rsid w:val="008D74B8"/>
    <w:rsid w:val="008D7EDE"/>
    <w:rsid w:val="008E0B28"/>
    <w:rsid w:val="008E21AD"/>
    <w:rsid w:val="008E27C4"/>
    <w:rsid w:val="008E280A"/>
    <w:rsid w:val="008E3ED1"/>
    <w:rsid w:val="008E4B31"/>
    <w:rsid w:val="008E58DD"/>
    <w:rsid w:val="008F0A6B"/>
    <w:rsid w:val="008F1077"/>
    <w:rsid w:val="008F192D"/>
    <w:rsid w:val="008F2669"/>
    <w:rsid w:val="008F27CD"/>
    <w:rsid w:val="008F3F24"/>
    <w:rsid w:val="008F4490"/>
    <w:rsid w:val="008F5A77"/>
    <w:rsid w:val="008F6DA9"/>
    <w:rsid w:val="00900684"/>
    <w:rsid w:val="00900DD9"/>
    <w:rsid w:val="009012E7"/>
    <w:rsid w:val="0090277E"/>
    <w:rsid w:val="009036AE"/>
    <w:rsid w:val="00904BF6"/>
    <w:rsid w:val="0090500C"/>
    <w:rsid w:val="00905474"/>
    <w:rsid w:val="00905A64"/>
    <w:rsid w:val="00906968"/>
    <w:rsid w:val="00910F66"/>
    <w:rsid w:val="00911C5A"/>
    <w:rsid w:val="009136D8"/>
    <w:rsid w:val="00913C17"/>
    <w:rsid w:val="009143B2"/>
    <w:rsid w:val="00914D7D"/>
    <w:rsid w:val="009152E2"/>
    <w:rsid w:val="009159E1"/>
    <w:rsid w:val="00916F0D"/>
    <w:rsid w:val="00917115"/>
    <w:rsid w:val="009200FF"/>
    <w:rsid w:val="009202F8"/>
    <w:rsid w:val="00920C53"/>
    <w:rsid w:val="00921D9A"/>
    <w:rsid w:val="0092484B"/>
    <w:rsid w:val="00925ABC"/>
    <w:rsid w:val="0092706B"/>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66A8"/>
    <w:rsid w:val="009705C1"/>
    <w:rsid w:val="009712CB"/>
    <w:rsid w:val="0097175A"/>
    <w:rsid w:val="0097350F"/>
    <w:rsid w:val="00973A34"/>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6930"/>
    <w:rsid w:val="0098706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64A0"/>
    <w:rsid w:val="009A66EC"/>
    <w:rsid w:val="009A712E"/>
    <w:rsid w:val="009B0B77"/>
    <w:rsid w:val="009B54A7"/>
    <w:rsid w:val="009B6CC2"/>
    <w:rsid w:val="009B7171"/>
    <w:rsid w:val="009B72D6"/>
    <w:rsid w:val="009B7D47"/>
    <w:rsid w:val="009C00BE"/>
    <w:rsid w:val="009C0315"/>
    <w:rsid w:val="009C0619"/>
    <w:rsid w:val="009C0D7F"/>
    <w:rsid w:val="009C0DAF"/>
    <w:rsid w:val="009C2B34"/>
    <w:rsid w:val="009C374F"/>
    <w:rsid w:val="009C3C79"/>
    <w:rsid w:val="009C598C"/>
    <w:rsid w:val="009C5A64"/>
    <w:rsid w:val="009C618E"/>
    <w:rsid w:val="009C61BC"/>
    <w:rsid w:val="009D0C5A"/>
    <w:rsid w:val="009D0EEB"/>
    <w:rsid w:val="009D1180"/>
    <w:rsid w:val="009D2E6A"/>
    <w:rsid w:val="009D2F61"/>
    <w:rsid w:val="009D3AED"/>
    <w:rsid w:val="009D7253"/>
    <w:rsid w:val="009E1047"/>
    <w:rsid w:val="009E151D"/>
    <w:rsid w:val="009E3D00"/>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0C"/>
    <w:rsid w:val="00A07487"/>
    <w:rsid w:val="00A14405"/>
    <w:rsid w:val="00A161F9"/>
    <w:rsid w:val="00A1730A"/>
    <w:rsid w:val="00A17E28"/>
    <w:rsid w:val="00A208FC"/>
    <w:rsid w:val="00A21204"/>
    <w:rsid w:val="00A21B11"/>
    <w:rsid w:val="00A220A6"/>
    <w:rsid w:val="00A2242F"/>
    <w:rsid w:val="00A228A1"/>
    <w:rsid w:val="00A231B3"/>
    <w:rsid w:val="00A24BEB"/>
    <w:rsid w:val="00A25607"/>
    <w:rsid w:val="00A275D4"/>
    <w:rsid w:val="00A31895"/>
    <w:rsid w:val="00A345C0"/>
    <w:rsid w:val="00A361F7"/>
    <w:rsid w:val="00A377C6"/>
    <w:rsid w:val="00A37D59"/>
    <w:rsid w:val="00A40CCF"/>
    <w:rsid w:val="00A428C4"/>
    <w:rsid w:val="00A43114"/>
    <w:rsid w:val="00A455B8"/>
    <w:rsid w:val="00A45E7C"/>
    <w:rsid w:val="00A4740B"/>
    <w:rsid w:val="00A47826"/>
    <w:rsid w:val="00A50E6F"/>
    <w:rsid w:val="00A5193C"/>
    <w:rsid w:val="00A52D55"/>
    <w:rsid w:val="00A53312"/>
    <w:rsid w:val="00A539C3"/>
    <w:rsid w:val="00A54026"/>
    <w:rsid w:val="00A5424F"/>
    <w:rsid w:val="00A54C02"/>
    <w:rsid w:val="00A55120"/>
    <w:rsid w:val="00A56673"/>
    <w:rsid w:val="00A57576"/>
    <w:rsid w:val="00A6084F"/>
    <w:rsid w:val="00A6410A"/>
    <w:rsid w:val="00A6590C"/>
    <w:rsid w:val="00A67595"/>
    <w:rsid w:val="00A70289"/>
    <w:rsid w:val="00A721D7"/>
    <w:rsid w:val="00A72577"/>
    <w:rsid w:val="00A727E0"/>
    <w:rsid w:val="00A73B1D"/>
    <w:rsid w:val="00A73F1D"/>
    <w:rsid w:val="00A7621D"/>
    <w:rsid w:val="00A77E64"/>
    <w:rsid w:val="00A8009E"/>
    <w:rsid w:val="00A81DE9"/>
    <w:rsid w:val="00A81F29"/>
    <w:rsid w:val="00A82B3A"/>
    <w:rsid w:val="00A82EE3"/>
    <w:rsid w:val="00A83649"/>
    <w:rsid w:val="00A847E9"/>
    <w:rsid w:val="00A84EE8"/>
    <w:rsid w:val="00A86232"/>
    <w:rsid w:val="00A86AA2"/>
    <w:rsid w:val="00A94F33"/>
    <w:rsid w:val="00A9526D"/>
    <w:rsid w:val="00A97862"/>
    <w:rsid w:val="00AA164C"/>
    <w:rsid w:val="00AA1B88"/>
    <w:rsid w:val="00AA53CA"/>
    <w:rsid w:val="00AA5D8F"/>
    <w:rsid w:val="00AA67BA"/>
    <w:rsid w:val="00AA6D18"/>
    <w:rsid w:val="00AA6F07"/>
    <w:rsid w:val="00AA776C"/>
    <w:rsid w:val="00AB2B98"/>
    <w:rsid w:val="00AB2F9F"/>
    <w:rsid w:val="00AB4310"/>
    <w:rsid w:val="00AB5CD0"/>
    <w:rsid w:val="00AB5EB9"/>
    <w:rsid w:val="00AB68E2"/>
    <w:rsid w:val="00AC023B"/>
    <w:rsid w:val="00AC079B"/>
    <w:rsid w:val="00AC1C8F"/>
    <w:rsid w:val="00AC27C1"/>
    <w:rsid w:val="00AC32E5"/>
    <w:rsid w:val="00AC5247"/>
    <w:rsid w:val="00AC6ED8"/>
    <w:rsid w:val="00AC74CE"/>
    <w:rsid w:val="00AD048E"/>
    <w:rsid w:val="00AD0D02"/>
    <w:rsid w:val="00AD2463"/>
    <w:rsid w:val="00AD40A4"/>
    <w:rsid w:val="00AD4363"/>
    <w:rsid w:val="00AD56AE"/>
    <w:rsid w:val="00AD6EED"/>
    <w:rsid w:val="00AD6FAF"/>
    <w:rsid w:val="00AE155C"/>
    <w:rsid w:val="00AE1572"/>
    <w:rsid w:val="00AE31BC"/>
    <w:rsid w:val="00AF3E07"/>
    <w:rsid w:val="00AF5F00"/>
    <w:rsid w:val="00AF67CE"/>
    <w:rsid w:val="00AF7369"/>
    <w:rsid w:val="00B0001E"/>
    <w:rsid w:val="00B00316"/>
    <w:rsid w:val="00B05756"/>
    <w:rsid w:val="00B1255D"/>
    <w:rsid w:val="00B140AE"/>
    <w:rsid w:val="00B16558"/>
    <w:rsid w:val="00B210B2"/>
    <w:rsid w:val="00B214B8"/>
    <w:rsid w:val="00B21942"/>
    <w:rsid w:val="00B24441"/>
    <w:rsid w:val="00B256D1"/>
    <w:rsid w:val="00B25D9E"/>
    <w:rsid w:val="00B273D4"/>
    <w:rsid w:val="00B3273C"/>
    <w:rsid w:val="00B335F4"/>
    <w:rsid w:val="00B35144"/>
    <w:rsid w:val="00B364AB"/>
    <w:rsid w:val="00B36F9C"/>
    <w:rsid w:val="00B40350"/>
    <w:rsid w:val="00B404B4"/>
    <w:rsid w:val="00B406FE"/>
    <w:rsid w:val="00B42464"/>
    <w:rsid w:val="00B4280A"/>
    <w:rsid w:val="00B44171"/>
    <w:rsid w:val="00B463ED"/>
    <w:rsid w:val="00B467ED"/>
    <w:rsid w:val="00B51ADA"/>
    <w:rsid w:val="00B53787"/>
    <w:rsid w:val="00B537FE"/>
    <w:rsid w:val="00B56D58"/>
    <w:rsid w:val="00B624F6"/>
    <w:rsid w:val="00B62986"/>
    <w:rsid w:val="00B62BC6"/>
    <w:rsid w:val="00B64D87"/>
    <w:rsid w:val="00B66C26"/>
    <w:rsid w:val="00B7112C"/>
    <w:rsid w:val="00B71E4D"/>
    <w:rsid w:val="00B728E3"/>
    <w:rsid w:val="00B728F6"/>
    <w:rsid w:val="00B73988"/>
    <w:rsid w:val="00B73FDA"/>
    <w:rsid w:val="00B75440"/>
    <w:rsid w:val="00B756C3"/>
    <w:rsid w:val="00B80ADA"/>
    <w:rsid w:val="00B817C6"/>
    <w:rsid w:val="00B81EB7"/>
    <w:rsid w:val="00B845CB"/>
    <w:rsid w:val="00B86039"/>
    <w:rsid w:val="00B86BFD"/>
    <w:rsid w:val="00B87903"/>
    <w:rsid w:val="00B87A8A"/>
    <w:rsid w:val="00B87C15"/>
    <w:rsid w:val="00B87C60"/>
    <w:rsid w:val="00B9212C"/>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C0BE8"/>
    <w:rsid w:val="00BC37FC"/>
    <w:rsid w:val="00BC51C2"/>
    <w:rsid w:val="00BC5793"/>
    <w:rsid w:val="00BD01C9"/>
    <w:rsid w:val="00BD02A3"/>
    <w:rsid w:val="00BD151E"/>
    <w:rsid w:val="00BD1C9C"/>
    <w:rsid w:val="00BD2530"/>
    <w:rsid w:val="00BD3430"/>
    <w:rsid w:val="00BD3474"/>
    <w:rsid w:val="00BD5609"/>
    <w:rsid w:val="00BD5639"/>
    <w:rsid w:val="00BD5C17"/>
    <w:rsid w:val="00BD643C"/>
    <w:rsid w:val="00BE1585"/>
    <w:rsid w:val="00BE2CE4"/>
    <w:rsid w:val="00BE2D0E"/>
    <w:rsid w:val="00BE5170"/>
    <w:rsid w:val="00BE6212"/>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064"/>
    <w:rsid w:val="00C067C8"/>
    <w:rsid w:val="00C07EB3"/>
    <w:rsid w:val="00C107A2"/>
    <w:rsid w:val="00C109F3"/>
    <w:rsid w:val="00C1214D"/>
    <w:rsid w:val="00C1299D"/>
    <w:rsid w:val="00C13E6E"/>
    <w:rsid w:val="00C17E5A"/>
    <w:rsid w:val="00C20C01"/>
    <w:rsid w:val="00C20E04"/>
    <w:rsid w:val="00C23F8F"/>
    <w:rsid w:val="00C26FBD"/>
    <w:rsid w:val="00C270DF"/>
    <w:rsid w:val="00C279C2"/>
    <w:rsid w:val="00C3003D"/>
    <w:rsid w:val="00C30803"/>
    <w:rsid w:val="00C31CE0"/>
    <w:rsid w:val="00C32470"/>
    <w:rsid w:val="00C331FC"/>
    <w:rsid w:val="00C33FBC"/>
    <w:rsid w:val="00C357E6"/>
    <w:rsid w:val="00C35FED"/>
    <w:rsid w:val="00C36BD5"/>
    <w:rsid w:val="00C36D54"/>
    <w:rsid w:val="00C40EC4"/>
    <w:rsid w:val="00C42176"/>
    <w:rsid w:val="00C4227F"/>
    <w:rsid w:val="00C42D38"/>
    <w:rsid w:val="00C434F3"/>
    <w:rsid w:val="00C439D0"/>
    <w:rsid w:val="00C4597F"/>
    <w:rsid w:val="00C465ED"/>
    <w:rsid w:val="00C507B5"/>
    <w:rsid w:val="00C50CCF"/>
    <w:rsid w:val="00C51A4B"/>
    <w:rsid w:val="00C52296"/>
    <w:rsid w:val="00C53108"/>
    <w:rsid w:val="00C53C1C"/>
    <w:rsid w:val="00C55839"/>
    <w:rsid w:val="00C60AF5"/>
    <w:rsid w:val="00C62B43"/>
    <w:rsid w:val="00C6300D"/>
    <w:rsid w:val="00C630FC"/>
    <w:rsid w:val="00C6419F"/>
    <w:rsid w:val="00C646D5"/>
    <w:rsid w:val="00C66040"/>
    <w:rsid w:val="00C67386"/>
    <w:rsid w:val="00C7005D"/>
    <w:rsid w:val="00C71AED"/>
    <w:rsid w:val="00C7650A"/>
    <w:rsid w:val="00C77185"/>
    <w:rsid w:val="00C80028"/>
    <w:rsid w:val="00C803B8"/>
    <w:rsid w:val="00C81CD6"/>
    <w:rsid w:val="00C8211D"/>
    <w:rsid w:val="00C83124"/>
    <w:rsid w:val="00C85557"/>
    <w:rsid w:val="00C85ACD"/>
    <w:rsid w:val="00C871EB"/>
    <w:rsid w:val="00C8785B"/>
    <w:rsid w:val="00C87B1A"/>
    <w:rsid w:val="00C925F1"/>
    <w:rsid w:val="00C92722"/>
    <w:rsid w:val="00C92F61"/>
    <w:rsid w:val="00C93198"/>
    <w:rsid w:val="00C97EA3"/>
    <w:rsid w:val="00CA26C4"/>
    <w:rsid w:val="00CA2B12"/>
    <w:rsid w:val="00CA460C"/>
    <w:rsid w:val="00CA4C37"/>
    <w:rsid w:val="00CB0357"/>
    <w:rsid w:val="00CB06BE"/>
    <w:rsid w:val="00CB31FC"/>
    <w:rsid w:val="00CB321B"/>
    <w:rsid w:val="00CB32B3"/>
    <w:rsid w:val="00CB3B59"/>
    <w:rsid w:val="00CB4488"/>
    <w:rsid w:val="00CB48F5"/>
    <w:rsid w:val="00CB4FEC"/>
    <w:rsid w:val="00CB6291"/>
    <w:rsid w:val="00CB670F"/>
    <w:rsid w:val="00CC0C53"/>
    <w:rsid w:val="00CC2545"/>
    <w:rsid w:val="00CC270F"/>
    <w:rsid w:val="00CC2E32"/>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1D45"/>
    <w:rsid w:val="00CF26BF"/>
    <w:rsid w:val="00CF28DC"/>
    <w:rsid w:val="00CF411A"/>
    <w:rsid w:val="00CF4A37"/>
    <w:rsid w:val="00CF59C5"/>
    <w:rsid w:val="00CF5D92"/>
    <w:rsid w:val="00CF74E7"/>
    <w:rsid w:val="00D002E6"/>
    <w:rsid w:val="00D0075B"/>
    <w:rsid w:val="00D00ACA"/>
    <w:rsid w:val="00D01207"/>
    <w:rsid w:val="00D01D80"/>
    <w:rsid w:val="00D0232D"/>
    <w:rsid w:val="00D03648"/>
    <w:rsid w:val="00D06674"/>
    <w:rsid w:val="00D1093B"/>
    <w:rsid w:val="00D12A20"/>
    <w:rsid w:val="00D12B55"/>
    <w:rsid w:val="00D136A9"/>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46B0D"/>
    <w:rsid w:val="00D50749"/>
    <w:rsid w:val="00D52831"/>
    <w:rsid w:val="00D5363B"/>
    <w:rsid w:val="00D53B99"/>
    <w:rsid w:val="00D53E03"/>
    <w:rsid w:val="00D53E43"/>
    <w:rsid w:val="00D54A6C"/>
    <w:rsid w:val="00D551FB"/>
    <w:rsid w:val="00D55C93"/>
    <w:rsid w:val="00D565F1"/>
    <w:rsid w:val="00D56E6A"/>
    <w:rsid w:val="00D57150"/>
    <w:rsid w:val="00D579D9"/>
    <w:rsid w:val="00D61EE8"/>
    <w:rsid w:val="00D63803"/>
    <w:rsid w:val="00D663CA"/>
    <w:rsid w:val="00D6704E"/>
    <w:rsid w:val="00D72D0D"/>
    <w:rsid w:val="00D72E57"/>
    <w:rsid w:val="00D7303A"/>
    <w:rsid w:val="00D73CD5"/>
    <w:rsid w:val="00D74835"/>
    <w:rsid w:val="00D75432"/>
    <w:rsid w:val="00D75671"/>
    <w:rsid w:val="00D75892"/>
    <w:rsid w:val="00D762DD"/>
    <w:rsid w:val="00D76557"/>
    <w:rsid w:val="00D81CE9"/>
    <w:rsid w:val="00D87B59"/>
    <w:rsid w:val="00D90021"/>
    <w:rsid w:val="00D90606"/>
    <w:rsid w:val="00D914BB"/>
    <w:rsid w:val="00D9210D"/>
    <w:rsid w:val="00D92F8D"/>
    <w:rsid w:val="00D93F66"/>
    <w:rsid w:val="00D95408"/>
    <w:rsid w:val="00D956FA"/>
    <w:rsid w:val="00D96266"/>
    <w:rsid w:val="00D96D40"/>
    <w:rsid w:val="00D96F15"/>
    <w:rsid w:val="00D9776B"/>
    <w:rsid w:val="00DA00FD"/>
    <w:rsid w:val="00DA0E38"/>
    <w:rsid w:val="00DA1F34"/>
    <w:rsid w:val="00DA300C"/>
    <w:rsid w:val="00DA3E72"/>
    <w:rsid w:val="00DA7207"/>
    <w:rsid w:val="00DA7330"/>
    <w:rsid w:val="00DA7936"/>
    <w:rsid w:val="00DA7D13"/>
    <w:rsid w:val="00DB039F"/>
    <w:rsid w:val="00DB0F15"/>
    <w:rsid w:val="00DB1712"/>
    <w:rsid w:val="00DB2A79"/>
    <w:rsid w:val="00DB2DD9"/>
    <w:rsid w:val="00DB3B91"/>
    <w:rsid w:val="00DB430D"/>
    <w:rsid w:val="00DB5DAA"/>
    <w:rsid w:val="00DB5DEC"/>
    <w:rsid w:val="00DB63C6"/>
    <w:rsid w:val="00DB64A4"/>
    <w:rsid w:val="00DC1D0E"/>
    <w:rsid w:val="00DC2536"/>
    <w:rsid w:val="00DC2905"/>
    <w:rsid w:val="00DC311F"/>
    <w:rsid w:val="00DC3A2C"/>
    <w:rsid w:val="00DC4330"/>
    <w:rsid w:val="00DC4C5C"/>
    <w:rsid w:val="00DC52C4"/>
    <w:rsid w:val="00DC5F15"/>
    <w:rsid w:val="00DC6CDE"/>
    <w:rsid w:val="00DC6D10"/>
    <w:rsid w:val="00DC71F1"/>
    <w:rsid w:val="00DC727D"/>
    <w:rsid w:val="00DC7E58"/>
    <w:rsid w:val="00DD012B"/>
    <w:rsid w:val="00DD06F3"/>
    <w:rsid w:val="00DD0950"/>
    <w:rsid w:val="00DD1872"/>
    <w:rsid w:val="00DD3141"/>
    <w:rsid w:val="00DD34E1"/>
    <w:rsid w:val="00DD3890"/>
    <w:rsid w:val="00DD3BB6"/>
    <w:rsid w:val="00DD5A85"/>
    <w:rsid w:val="00DD5ED0"/>
    <w:rsid w:val="00DD7F30"/>
    <w:rsid w:val="00DE143A"/>
    <w:rsid w:val="00DE5587"/>
    <w:rsid w:val="00DE6B8A"/>
    <w:rsid w:val="00DE757A"/>
    <w:rsid w:val="00DE7D83"/>
    <w:rsid w:val="00DE7DBD"/>
    <w:rsid w:val="00DF3DA1"/>
    <w:rsid w:val="00DF4C96"/>
    <w:rsid w:val="00DF562B"/>
    <w:rsid w:val="00DF7B07"/>
    <w:rsid w:val="00E0194F"/>
    <w:rsid w:val="00E01AFB"/>
    <w:rsid w:val="00E01EC0"/>
    <w:rsid w:val="00E02D0E"/>
    <w:rsid w:val="00E16BFA"/>
    <w:rsid w:val="00E16DA2"/>
    <w:rsid w:val="00E2008F"/>
    <w:rsid w:val="00E2040A"/>
    <w:rsid w:val="00E2273F"/>
    <w:rsid w:val="00E24275"/>
    <w:rsid w:val="00E2565C"/>
    <w:rsid w:val="00E25EB2"/>
    <w:rsid w:val="00E269F2"/>
    <w:rsid w:val="00E2724E"/>
    <w:rsid w:val="00E30D66"/>
    <w:rsid w:val="00E31B3C"/>
    <w:rsid w:val="00E33129"/>
    <w:rsid w:val="00E33F83"/>
    <w:rsid w:val="00E405EC"/>
    <w:rsid w:val="00E42592"/>
    <w:rsid w:val="00E43A1D"/>
    <w:rsid w:val="00E43D0B"/>
    <w:rsid w:val="00E45B3C"/>
    <w:rsid w:val="00E4681B"/>
    <w:rsid w:val="00E46D40"/>
    <w:rsid w:val="00E470ED"/>
    <w:rsid w:val="00E4727C"/>
    <w:rsid w:val="00E506EC"/>
    <w:rsid w:val="00E5231D"/>
    <w:rsid w:val="00E53A03"/>
    <w:rsid w:val="00E54211"/>
    <w:rsid w:val="00E56C85"/>
    <w:rsid w:val="00E611E8"/>
    <w:rsid w:val="00E61421"/>
    <w:rsid w:val="00E61B00"/>
    <w:rsid w:val="00E62183"/>
    <w:rsid w:val="00E62E90"/>
    <w:rsid w:val="00E63C83"/>
    <w:rsid w:val="00E72696"/>
    <w:rsid w:val="00E743B6"/>
    <w:rsid w:val="00E762E3"/>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B5F68"/>
    <w:rsid w:val="00EB7A78"/>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57E9"/>
    <w:rsid w:val="00EE6C1C"/>
    <w:rsid w:val="00EE71E9"/>
    <w:rsid w:val="00EE7259"/>
    <w:rsid w:val="00EF010D"/>
    <w:rsid w:val="00EF0F6A"/>
    <w:rsid w:val="00EF0F71"/>
    <w:rsid w:val="00EF3698"/>
    <w:rsid w:val="00EF407E"/>
    <w:rsid w:val="00EF489C"/>
    <w:rsid w:val="00EF5903"/>
    <w:rsid w:val="00EF7365"/>
    <w:rsid w:val="00F008AA"/>
    <w:rsid w:val="00F029B1"/>
    <w:rsid w:val="00F02F03"/>
    <w:rsid w:val="00F06207"/>
    <w:rsid w:val="00F07C8B"/>
    <w:rsid w:val="00F10CF3"/>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181"/>
    <w:rsid w:val="00F37CBF"/>
    <w:rsid w:val="00F37E34"/>
    <w:rsid w:val="00F40D8C"/>
    <w:rsid w:val="00F41ADC"/>
    <w:rsid w:val="00F42012"/>
    <w:rsid w:val="00F43168"/>
    <w:rsid w:val="00F43661"/>
    <w:rsid w:val="00F43ECE"/>
    <w:rsid w:val="00F4455C"/>
    <w:rsid w:val="00F565B3"/>
    <w:rsid w:val="00F577C7"/>
    <w:rsid w:val="00F632D6"/>
    <w:rsid w:val="00F63754"/>
    <w:rsid w:val="00F63F2E"/>
    <w:rsid w:val="00F642B3"/>
    <w:rsid w:val="00F64747"/>
    <w:rsid w:val="00F66A8E"/>
    <w:rsid w:val="00F66AF3"/>
    <w:rsid w:val="00F66C9A"/>
    <w:rsid w:val="00F67960"/>
    <w:rsid w:val="00F70267"/>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385"/>
    <w:rsid w:val="00FA09B5"/>
    <w:rsid w:val="00FA0B43"/>
    <w:rsid w:val="00FA17D4"/>
    <w:rsid w:val="00FA4099"/>
    <w:rsid w:val="00FA6270"/>
    <w:rsid w:val="00FA6B1E"/>
    <w:rsid w:val="00FA714A"/>
    <w:rsid w:val="00FA795A"/>
    <w:rsid w:val="00FA7BFF"/>
    <w:rsid w:val="00FB02B9"/>
    <w:rsid w:val="00FB18FD"/>
    <w:rsid w:val="00FB24BA"/>
    <w:rsid w:val="00FB3F25"/>
    <w:rsid w:val="00FB525E"/>
    <w:rsid w:val="00FB6FB0"/>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6C5A"/>
    <w:rsid w:val="00FD749C"/>
    <w:rsid w:val="00FE2583"/>
    <w:rsid w:val="00FE30B3"/>
    <w:rsid w:val="00FE388D"/>
    <w:rsid w:val="00FE44B0"/>
    <w:rsid w:val="00FE649B"/>
    <w:rsid w:val="00FE66B8"/>
    <w:rsid w:val="00FE7972"/>
    <w:rsid w:val="00FE7EFA"/>
    <w:rsid w:val="00FE7FA4"/>
    <w:rsid w:val="00FF075D"/>
    <w:rsid w:val="00FF345D"/>
    <w:rsid w:val="00FF42A2"/>
    <w:rsid w:val="00FF5848"/>
    <w:rsid w:val="0FE7A404"/>
    <w:rsid w:val="17F37EBD"/>
    <w:rsid w:val="1FDAFFFB"/>
    <w:rsid w:val="27FBCBB6"/>
    <w:rsid w:val="297B040D"/>
    <w:rsid w:val="2BBAFE6E"/>
    <w:rsid w:val="2FEF50A1"/>
    <w:rsid w:val="2FF9D32B"/>
    <w:rsid w:val="38DF9CD8"/>
    <w:rsid w:val="3CF2FB28"/>
    <w:rsid w:val="3DFAF7C9"/>
    <w:rsid w:val="3F755D34"/>
    <w:rsid w:val="4BF74B6C"/>
    <w:rsid w:val="4D0D798F"/>
    <w:rsid w:val="5BBF4429"/>
    <w:rsid w:val="5BFBB57B"/>
    <w:rsid w:val="5DEF07C7"/>
    <w:rsid w:val="5F6FC66B"/>
    <w:rsid w:val="5FFF9274"/>
    <w:rsid w:val="6DA7A6EE"/>
    <w:rsid w:val="6EEA9643"/>
    <w:rsid w:val="6EFE25A2"/>
    <w:rsid w:val="6FFF2529"/>
    <w:rsid w:val="707EAEE2"/>
    <w:rsid w:val="74E8E5CF"/>
    <w:rsid w:val="76BF04CB"/>
    <w:rsid w:val="77BB23F7"/>
    <w:rsid w:val="78B7CD79"/>
    <w:rsid w:val="795FAE42"/>
    <w:rsid w:val="79EB0F1C"/>
    <w:rsid w:val="79FF8124"/>
    <w:rsid w:val="7BFE31B4"/>
    <w:rsid w:val="7C4EA3AA"/>
    <w:rsid w:val="7DEB6762"/>
    <w:rsid w:val="7DFF1E0B"/>
    <w:rsid w:val="7E567E0C"/>
    <w:rsid w:val="7E5F30F5"/>
    <w:rsid w:val="7F2EE6B3"/>
    <w:rsid w:val="7F7CCFBA"/>
    <w:rsid w:val="7FDF8C38"/>
    <w:rsid w:val="7FEF77A9"/>
    <w:rsid w:val="8FFD7C19"/>
    <w:rsid w:val="AF8A9D5E"/>
    <w:rsid w:val="B733AF60"/>
    <w:rsid w:val="BD05DDFC"/>
    <w:rsid w:val="BEBF8D85"/>
    <w:rsid w:val="BEFF62A1"/>
    <w:rsid w:val="BF274215"/>
    <w:rsid w:val="BFDF065D"/>
    <w:rsid w:val="BFF6B9C2"/>
    <w:rsid w:val="BFFD23B6"/>
    <w:rsid w:val="CB74E54F"/>
    <w:rsid w:val="CF3B4B79"/>
    <w:rsid w:val="D789341A"/>
    <w:rsid w:val="D7EEFF85"/>
    <w:rsid w:val="DDBBC883"/>
    <w:rsid w:val="DF5F6E88"/>
    <w:rsid w:val="DFBBBF45"/>
    <w:rsid w:val="EAFE2C07"/>
    <w:rsid w:val="EBFF006B"/>
    <w:rsid w:val="EEFB2739"/>
    <w:rsid w:val="EF277AAA"/>
    <w:rsid w:val="EF5385BE"/>
    <w:rsid w:val="F3FF4BA3"/>
    <w:rsid w:val="F7F2BA89"/>
    <w:rsid w:val="FAFF656B"/>
    <w:rsid w:val="FD17E68D"/>
    <w:rsid w:val="FEFF7006"/>
    <w:rsid w:val="FF277A75"/>
    <w:rsid w:val="FF3382F5"/>
    <w:rsid w:val="FF57FB4D"/>
    <w:rsid w:val="FFBFBD3E"/>
    <w:rsid w:val="FFFB8AC5"/>
    <w:rsid w:val="FFFF7564"/>
    <w:rsid w:val="FFFFB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numPr>
        <w:ilvl w:val="0"/>
        <w:numId w:val="1"/>
      </w:numPr>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99"/>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8"/>
    <w:semiHidden/>
    <w:qFormat/>
    <w:uiPriority w:val="99"/>
    <w:rPr>
      <w:rFonts w:ascii="Arial" w:hAnsi="Arial"/>
      <w:b/>
      <w:bCs/>
      <w:lang w:val="en-GB" w:eastAsia="en-US"/>
    </w:rPr>
  </w:style>
  <w:style w:type="paragraph" w:styleId="37">
    <w:name w:val="List Paragraph"/>
    <w:basedOn w:val="1"/>
    <w:link w:val="43"/>
    <w:qFormat/>
    <w:uiPriority w:val="34"/>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right="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99"/>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1"/>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19"/>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修订1"/>
    <w:hidden/>
    <w:semiHidden/>
    <w:qFormat/>
    <w:uiPriority w:val="99"/>
    <w:rPr>
      <w:rFonts w:ascii="Times New Roman" w:hAnsi="Times New Roman" w:eastAsia="等线" w:cs="Times New Roman"/>
      <w:lang w:val="en-GB" w:eastAsia="en-US" w:bidi="ar-SA"/>
    </w:rPr>
  </w:style>
  <w:style w:type="paragraph" w:customStyle="1" w:styleId="50">
    <w:name w:val="bullet1"/>
    <w:basedOn w:val="1"/>
    <w:link w:val="52"/>
    <w:qFormat/>
    <w:uiPriority w:val="0"/>
    <w:pPr>
      <w:numPr>
        <w:ilvl w:val="0"/>
        <w:numId w:val="6"/>
      </w:numPr>
      <w:spacing w:line="259" w:lineRule="auto"/>
      <w:jc w:val="both"/>
    </w:pPr>
    <w:rPr>
      <w:rFonts w:ascii="Times" w:hAnsi="Times" w:eastAsia="Batang"/>
      <w:sz w:val="22"/>
      <w:szCs w:val="24"/>
      <w:lang w:val="en-US"/>
    </w:rPr>
  </w:style>
  <w:style w:type="paragraph" w:customStyle="1" w:styleId="51">
    <w:name w:val="bullet2"/>
    <w:basedOn w:val="1"/>
    <w:qFormat/>
    <w:uiPriority w:val="0"/>
    <w:pPr>
      <w:numPr>
        <w:ilvl w:val="1"/>
        <w:numId w:val="6"/>
      </w:numPr>
      <w:spacing w:line="259" w:lineRule="auto"/>
      <w:jc w:val="both"/>
    </w:pPr>
    <w:rPr>
      <w:rFonts w:eastAsia="Batang"/>
      <w:sz w:val="22"/>
      <w:szCs w:val="24"/>
      <w:lang w:val="en-US"/>
    </w:rPr>
  </w:style>
  <w:style w:type="character" w:customStyle="1" w:styleId="52">
    <w:name w:val="bullet1 Char"/>
    <w:link w:val="50"/>
    <w:qFormat/>
    <w:uiPriority w:val="0"/>
    <w:rPr>
      <w:rFonts w:ascii="Times" w:hAnsi="Times" w:eastAsia="Batang"/>
      <w:sz w:val="22"/>
      <w:szCs w:val="24"/>
      <w:lang w:eastAsia="en-US"/>
    </w:rPr>
  </w:style>
  <w:style w:type="paragraph" w:customStyle="1" w:styleId="53">
    <w:name w:val="bullet3"/>
    <w:basedOn w:val="1"/>
    <w:qFormat/>
    <w:uiPriority w:val="99"/>
    <w:pPr>
      <w:numPr>
        <w:ilvl w:val="2"/>
        <w:numId w:val="6"/>
      </w:numPr>
      <w:spacing w:line="259" w:lineRule="auto"/>
      <w:ind w:hanging="180"/>
    </w:pPr>
    <w:rPr>
      <w:rFonts w:ascii="Times" w:hAnsi="Times" w:eastAsia="Batang"/>
      <w:szCs w:val="24"/>
    </w:rPr>
  </w:style>
  <w:style w:type="paragraph" w:customStyle="1" w:styleId="54">
    <w:name w:val="bullet4"/>
    <w:basedOn w:val="1"/>
    <w:qFormat/>
    <w:uiPriority w:val="99"/>
    <w:pPr>
      <w:numPr>
        <w:ilvl w:val="3"/>
        <w:numId w:val="6"/>
      </w:numPr>
      <w:spacing w:line="259" w:lineRule="auto"/>
    </w:pPr>
    <w:rPr>
      <w:rFonts w:ascii="Times" w:hAnsi="Times" w:eastAsia="Batang"/>
      <w:szCs w:val="24"/>
    </w:rPr>
  </w:style>
  <w:style w:type="character" w:customStyle="1" w:styleId="55">
    <w:name w:val="列表段落 字符1"/>
    <w:qFormat/>
    <w:locked/>
    <w:uiPriority w:val="34"/>
    <w:rPr>
      <w:rFonts w:ascii="Calibri" w:hAnsi="Calibri" w:eastAsia="Calibri"/>
      <w:sz w:val="22"/>
      <w:szCs w:val="22"/>
      <w:lang w:eastAsia="en-US"/>
    </w:rPr>
  </w:style>
  <w:style w:type="paragraph" w:customStyle="1" w:styleId="56">
    <w:name w:val="LGTdoc_본문"/>
    <w:basedOn w:val="1"/>
    <w:link w:val="57"/>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57">
    <w:name w:val="LGTdoc_본문 Char"/>
    <w:link w:val="56"/>
    <w:qFormat/>
    <w:uiPriority w:val="0"/>
    <w:rPr>
      <w:rFonts w:eastAsia="Batang"/>
      <w:kern w:val="2"/>
      <w:sz w:val="22"/>
      <w:szCs w:val="24"/>
      <w:lang w:val="en-GB" w:eastAsia="ko-KR"/>
    </w:rPr>
  </w:style>
  <w:style w:type="paragraph" w:customStyle="1" w:styleId="58">
    <w:name w:val="修订2"/>
    <w:hidden/>
    <w:unhideWhenUsed/>
    <w:qFormat/>
    <w:uiPriority w:val="99"/>
    <w:rPr>
      <w:rFonts w:ascii="Times New Roman" w:hAnsi="Times New Roman" w:eastAsia="等线" w:cs="Times New Roman"/>
      <w:lang w:val="en-GB" w:eastAsia="en-US" w:bidi="ar-SA"/>
    </w:rPr>
  </w:style>
  <w:style w:type="paragraph" w:customStyle="1" w:styleId="59">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9</Pages>
  <Words>4212</Words>
  <Characters>24009</Characters>
  <Lines>200</Lines>
  <Paragraphs>56</Paragraphs>
  <TotalTime>2</TotalTime>
  <ScaleCrop>false</ScaleCrop>
  <LinksUpToDate>false</LinksUpToDate>
  <CharactersWithSpaces>28165</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2022-11-04T19:55:00Z</dcterms:created>
  <dc:creator>CMCC</dc:creator>
  <cp:lastModifiedBy>Huanhuan Wu (cmcc)</cp:lastModifiedBy>
  <cp:lastPrinted>2002-04-25T09:10:00Z</cp:lastPrinted>
  <dcterms:modified xsi:type="dcterms:W3CDTF">2024-11-07T18:20:24Z</dcterms:modified>
  <cp:revision>1335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203539C8A75BC55A68942C679525C46B</vt:lpwstr>
  </property>
</Properties>
</file>